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default"/>
          <w:sz w:val="30"/>
          <w:szCs w:val="30"/>
          <w:lang w:val="en-US"/>
        </w:rPr>
        <w:t xml:space="preserve">                                        </w:t>
      </w:r>
      <w:r>
        <w:rPr>
          <w:rFonts w:hint="eastAsia"/>
          <w:sz w:val="30"/>
          <w:szCs w:val="30"/>
        </w:rPr>
        <w:t>编号</w:t>
      </w:r>
      <w:r>
        <w:rPr>
          <w:rFonts w:hint="default"/>
          <w:sz w:val="30"/>
          <w:szCs w:val="30"/>
          <w:lang w:val="en-US"/>
        </w:rPr>
        <w:t>:HG2022-6-8</w:t>
      </w:r>
    </w:p>
    <w:p/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鄂尔多斯市神东天隆化工有限责任公司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关于购置（加注机）设备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技术要求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ind w:firstLine="446" w:firstLineChars="148"/>
        <w:rPr>
          <w:b/>
          <w:sz w:val="30"/>
          <w:szCs w:val="30"/>
        </w:rPr>
      </w:pPr>
    </w:p>
    <w:p>
      <w:pPr>
        <w:ind w:firstLine="446" w:firstLineChars="148"/>
        <w:rPr>
          <w:b/>
          <w:sz w:val="30"/>
          <w:szCs w:val="30"/>
        </w:rPr>
      </w:pPr>
    </w:p>
    <w:p>
      <w:pPr>
        <w:ind w:firstLine="446" w:firstLineChars="148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使用方</w:t>
      </w:r>
      <w:r>
        <w:rPr>
          <w:rFonts w:hint="eastAsia"/>
          <w:sz w:val="30"/>
          <w:szCs w:val="30"/>
        </w:rPr>
        <w:t>：鄂尔多斯市神东天隆化工有限责任公司</w:t>
      </w:r>
    </w:p>
    <w:p>
      <w:pPr>
        <w:ind w:firstLine="446" w:firstLineChars="148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审核方</w:t>
      </w:r>
      <w:r>
        <w:rPr>
          <w:rFonts w:hint="eastAsia"/>
          <w:sz w:val="30"/>
          <w:szCs w:val="30"/>
        </w:rPr>
        <w:t>：内蒙古神东天隆集团股份有限公司机电动力部</w:t>
      </w:r>
    </w:p>
    <w:p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2022年</w:t>
      </w:r>
      <w:r>
        <w:rPr>
          <w:rFonts w:hint="default"/>
          <w:sz w:val="30"/>
          <w:szCs w:val="30"/>
          <w:lang w:val="en-US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default"/>
          <w:sz w:val="30"/>
          <w:szCs w:val="30"/>
          <w:lang w:val="en-US"/>
        </w:rPr>
        <w:t>8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br w:type="page"/>
      </w: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default"/>
          <w:sz w:val="30"/>
          <w:szCs w:val="30"/>
          <w:lang w:val="en-US"/>
        </w:rPr>
        <w:t xml:space="preserve">                                        </w:t>
      </w:r>
      <w:r>
        <w:rPr>
          <w:rFonts w:hint="eastAsia"/>
          <w:sz w:val="30"/>
          <w:szCs w:val="30"/>
        </w:rPr>
        <w:t>编号：</w:t>
      </w:r>
      <w:r>
        <w:rPr>
          <w:rFonts w:hint="default"/>
          <w:sz w:val="30"/>
          <w:szCs w:val="30"/>
          <w:lang w:val="en-US"/>
        </w:rPr>
        <w:t>HG2022-6-8</w:t>
      </w:r>
    </w:p>
    <w:p>
      <w:pPr>
        <w:jc w:val="center"/>
        <w:rPr>
          <w:b/>
          <w:sz w:val="13"/>
          <w:szCs w:val="13"/>
        </w:rPr>
      </w:pPr>
      <w:r>
        <w:rPr>
          <w:rFonts w:hint="eastAsia"/>
          <w:b/>
          <w:sz w:val="30"/>
          <w:szCs w:val="30"/>
        </w:rPr>
        <w:t>技 术 要 求</w:t>
      </w:r>
    </w:p>
    <w:p>
      <w:pPr>
        <w:jc w:val="center"/>
        <w:rPr>
          <w:b/>
          <w:sz w:val="13"/>
          <w:szCs w:val="13"/>
        </w:rPr>
      </w:pP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使用方：</w:t>
      </w:r>
      <w:r>
        <w:rPr>
          <w:rFonts w:hint="eastAsia"/>
          <w:sz w:val="30"/>
          <w:szCs w:val="30"/>
        </w:rPr>
        <w:t>鄂尔多斯市神东天隆化工有限责任公司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审核方：</w:t>
      </w:r>
      <w:r>
        <w:rPr>
          <w:rFonts w:hint="eastAsia"/>
          <w:sz w:val="30"/>
          <w:szCs w:val="30"/>
        </w:rPr>
        <w:t>内蒙古神东天隆集团股份有限公司机电动力部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一、产品概况：</w:t>
      </w:r>
    </w:p>
    <w:tbl>
      <w:tblPr>
        <w:tblStyle w:val="6"/>
        <w:tblW w:w="94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41"/>
        <w:gridCol w:w="2800"/>
        <w:gridCol w:w="1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加注介质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环境温度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非防爆型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加注机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乳化液专用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-2</w:t>
            </w:r>
            <w:r>
              <w:rPr>
                <w:rFonts w:ascii="新宋体" w:hAnsi="新宋体" w:eastAsia="新宋体" w:cs="Times New Roman"/>
                <w:sz w:val="24"/>
                <w:szCs w:val="28"/>
              </w:rPr>
              <w:t>0</w:t>
            </w: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℃～</w:t>
            </w:r>
            <w:r>
              <w:rPr>
                <w:rFonts w:ascii="新宋体" w:hAnsi="新宋体" w:eastAsia="新宋体" w:cs="Times New Roman"/>
                <w:sz w:val="24"/>
                <w:szCs w:val="28"/>
              </w:rPr>
              <w:t>+</w:t>
            </w: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60℃</w:t>
            </w:r>
            <w:r>
              <w:rPr>
                <w:rFonts w:ascii="新宋体" w:hAnsi="新宋体" w:eastAsia="新宋体" w:cs="Times New Roman"/>
                <w:sz w:val="24"/>
                <w:szCs w:val="28"/>
              </w:rPr>
              <w:t>(</w:t>
            </w: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即电子的适应温度</w:t>
            </w:r>
            <w:r>
              <w:rPr>
                <w:rFonts w:ascii="新宋体" w:hAnsi="新宋体" w:eastAsia="新宋体" w:cs="Times New Roman"/>
                <w:sz w:val="24"/>
                <w:szCs w:val="28"/>
              </w:rPr>
              <w:t>)</w:t>
            </w:r>
          </w:p>
        </w:tc>
        <w:tc>
          <w:tcPr>
            <w:tcW w:w="1900" w:type="dxa"/>
            <w:vMerge w:val="continue"/>
          </w:tcPr>
          <w:p/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二、技术参数：</w:t>
      </w:r>
    </w:p>
    <w:tbl>
      <w:tblPr>
        <w:tblStyle w:val="6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984"/>
        <w:gridCol w:w="1985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流量范围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计量最大误差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单次计数范围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累计计数范围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80-100升/分钟</w:t>
            </w:r>
          </w:p>
        </w:tc>
        <w:tc>
          <w:tcPr>
            <w:tcW w:w="1560" w:type="dxa"/>
            <w:vAlign w:val="center"/>
          </w:tcPr>
          <w:p>
            <w:pPr>
              <w:ind w:firstLine="360" w:firstLineChars="150"/>
              <w:jc w:val="center"/>
              <w:rPr>
                <w:rFonts w:ascii="新宋体" w:hAnsi="新宋体" w:eastAsia="新宋体" w:cs="Times New Roman"/>
                <w:sz w:val="24"/>
                <w:szCs w:val="28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±0.3%.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jc w:val="center"/>
              <w:rPr>
                <w:rFonts w:ascii="新宋体" w:hAnsi="新宋体" w:eastAsia="新宋体"/>
                <w:sz w:val="24"/>
                <w:szCs w:val="28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0-9999.99升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0-999999.99升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ascii="新宋体" w:hAnsi="新宋体" w:eastAsia="新宋体" w:cs="Times New Roman"/>
                <w:sz w:val="24"/>
                <w:szCs w:val="28"/>
              </w:rPr>
              <w:t>380V±15%  50H</w:t>
            </w:r>
            <w:r>
              <w:rPr>
                <w:rFonts w:hint="eastAsia" w:ascii="新宋体" w:hAnsi="新宋体" w:eastAsia="新宋体" w:cs="Times New Roman"/>
                <w:sz w:val="24"/>
                <w:szCs w:val="28"/>
              </w:rPr>
              <w:t>z</w:t>
            </w:r>
          </w:p>
        </w:tc>
      </w:tr>
    </w:tbl>
    <w:p>
      <w:pPr>
        <w:spacing w:line="360" w:lineRule="auto"/>
        <w:ind w:left="562" w:hanging="562" w:hanging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三、功能与说明：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1、功能：可定量与不定量加注；具有连续定量功能：如果连续加注相同数据的介质，输入一次数据即可，没有必要每加一次介质就输入一次数据；断电显示功能；可查询总累计数。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2、说明：本机为双枪双油品加注，每把枪独立的工作且互不影响。</w:t>
      </w:r>
    </w:p>
    <w:p>
      <w:pPr>
        <w:spacing w:line="360" w:lineRule="auto"/>
        <w:ind w:left="-141" w:leftChars="-67" w:firstLine="138" w:firstLineChars="49"/>
        <w:rPr>
          <w:rFonts w:ascii="新宋体" w:hAnsi="新宋体" w:eastAsia="新宋体"/>
          <w:b/>
          <w:sz w:val="24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四、主要配置与工艺</w:t>
      </w:r>
      <w:r>
        <w:rPr>
          <w:rFonts w:hint="eastAsia" w:ascii="新宋体" w:hAnsi="新宋体" w:eastAsia="新宋体"/>
          <w:b/>
          <w:sz w:val="24"/>
          <w:szCs w:val="28"/>
        </w:rPr>
        <w:t>:</w:t>
      </w:r>
    </w:p>
    <w:p>
      <w:pPr>
        <w:spacing w:line="360" w:lineRule="auto"/>
        <w:ind w:left="900" w:leftChars="200" w:hanging="480" w:hangingChars="200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>4.1、机器外部：</w:t>
      </w:r>
    </w:p>
    <w:p>
      <w:pPr>
        <w:spacing w:line="360" w:lineRule="auto"/>
        <w:ind w:left="850" w:leftChars="176" w:hanging="480" w:hangingChars="200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 xml:space="preserve">     4.1.1、机器本身：外壳材质：钢板喷塑。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8"/>
        </w:rPr>
        <w:t>4.1.2</w:t>
      </w:r>
      <w:r>
        <w:rPr>
          <w:rFonts w:hint="eastAsia" w:ascii="宋体" w:hAnsi="宋体"/>
          <w:sz w:val="24"/>
          <w:szCs w:val="24"/>
        </w:rPr>
        <w:t>、机器外形尺寸：高1630厚800宽900.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8"/>
        </w:rPr>
        <w:t>4.1.3</w:t>
      </w:r>
      <w:r>
        <w:rPr>
          <w:rFonts w:hint="eastAsia" w:ascii="宋体" w:hAnsi="宋体"/>
          <w:sz w:val="24"/>
          <w:szCs w:val="24"/>
        </w:rPr>
        <w:t>、关于显示及操作：</w:t>
      </w:r>
    </w:p>
    <w:p>
      <w:pPr>
        <w:spacing w:line="360" w:lineRule="auto"/>
        <w:ind w:firstLine="1680" w:firstLineChars="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显示：单面液晶显示，在加注机的正面有两个独立的显示。</w:t>
      </w:r>
    </w:p>
    <w:p>
      <w:pPr>
        <w:spacing w:line="360" w:lineRule="auto"/>
        <w:ind w:firstLine="1680" w:firstLineChars="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操作：每把枪具有独立的操作键盘，且在加注机的侧面。</w:t>
      </w:r>
    </w:p>
    <w:p>
      <w:pPr>
        <w:spacing w:line="360" w:lineRule="auto"/>
        <w:ind w:left="994" w:leftChars="-441" w:hanging="1920" w:hanging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</w:t>
      </w:r>
      <w:r>
        <w:rPr>
          <w:rFonts w:hint="eastAsia" w:ascii="新宋体" w:hAnsi="新宋体" w:eastAsia="新宋体"/>
          <w:sz w:val="24"/>
          <w:szCs w:val="28"/>
        </w:rPr>
        <w:t>4.1.4</w:t>
      </w:r>
      <w:r>
        <w:rPr>
          <w:rFonts w:hint="eastAsia" w:ascii="宋体" w:hAnsi="宋体"/>
          <w:sz w:val="24"/>
          <w:szCs w:val="24"/>
        </w:rPr>
        <w:t xml:space="preserve">、出口部分：黑色柔性胶管，长度10米；加注枪：铝合金，两端含活接及呆接；把加注枪分别在加注机的两个侧壁。        </w:t>
      </w:r>
    </w:p>
    <w:p>
      <w:pPr>
        <w:spacing w:line="360" w:lineRule="auto"/>
        <w:ind w:left="2997" w:leftChars="473" w:hanging="2004" w:hangingChars="835"/>
        <w:rPr>
          <w:rFonts w:ascii="宋体" w:hAnsi="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8"/>
        </w:rPr>
        <w:t>4.1.5</w:t>
      </w:r>
      <w:r>
        <w:rPr>
          <w:rFonts w:hint="eastAsia" w:ascii="宋体" w:hAnsi="宋体"/>
          <w:sz w:val="24"/>
          <w:szCs w:val="24"/>
        </w:rPr>
        <w:t>、进口部分：</w:t>
      </w:r>
      <w:r>
        <w:rPr>
          <w:rFonts w:hint="default" w:ascii="宋体" w:hAnsi="宋体"/>
          <w:sz w:val="24"/>
          <w:szCs w:val="24"/>
          <w:lang w:val="en-US"/>
        </w:rPr>
        <w:t>1.</w:t>
      </w:r>
      <w:r>
        <w:rPr>
          <w:rFonts w:hint="eastAsia" w:ascii="宋体" w:hAnsi="宋体"/>
          <w:sz w:val="24"/>
          <w:szCs w:val="24"/>
        </w:rPr>
        <w:t>在加注机的两个侧面下部分别预留1.5 寸柔性不锈钢波纹软管且带1.5寸内丝三角法兰。</w:t>
      </w:r>
    </w:p>
    <w:p>
      <w:pPr>
        <w:spacing w:line="360" w:lineRule="auto"/>
        <w:ind w:left="2878" w:leftChars="456" w:right="-197" w:rightChars="-94" w:hanging="1920" w:hanging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</w:t>
      </w:r>
      <w:r>
        <w:rPr>
          <w:rFonts w:hint="default" w:ascii="宋体" w:hAnsi="宋体"/>
          <w:sz w:val="24"/>
          <w:szCs w:val="24"/>
          <w:lang w:val="en-US"/>
        </w:rPr>
        <w:t>2.</w:t>
      </w:r>
      <w:r>
        <w:rPr>
          <w:rFonts w:hint="eastAsia" w:ascii="宋体" w:hAnsi="宋体"/>
          <w:sz w:val="24"/>
          <w:szCs w:val="24"/>
        </w:rPr>
        <w:t>两个进液管具有独立性，分别直接连接外置罐，实</w:t>
      </w:r>
    </w:p>
    <w:p>
      <w:pPr>
        <w:spacing w:line="360" w:lineRule="auto"/>
        <w:ind w:left="2515" w:leftChars="912" w:right="300" w:hanging="600" w:hangingChars="400"/>
        <w:jc w:val="right"/>
        <w:rPr>
          <w:rFonts w:ascii="宋体" w:hAnsi="宋体"/>
          <w:sz w:val="24"/>
          <w:szCs w:val="24"/>
        </w:rPr>
      </w:pPr>
      <w:r>
        <w:rPr>
          <w:rFonts w:hint="default" w:ascii="宋体" w:hAnsi="宋体"/>
          <w:sz w:val="15"/>
          <w:szCs w:val="15"/>
          <w:lang w:val="en-US"/>
        </w:rPr>
        <w:t xml:space="preserve">  </w:t>
      </w:r>
      <w:r>
        <w:rPr>
          <w:rFonts w:hint="eastAsia" w:ascii="宋体" w:hAnsi="宋体"/>
          <w:sz w:val="15"/>
          <w:szCs w:val="15"/>
        </w:rPr>
        <w:t xml:space="preserve">  </w:t>
      </w:r>
      <w:r>
        <w:rPr>
          <w:rFonts w:hint="default" w:ascii="宋体" w:hAnsi="宋体"/>
          <w:sz w:val="15"/>
          <w:szCs w:val="15"/>
          <w:lang w:val="en-US"/>
        </w:rPr>
        <w:t xml:space="preserve">     </w:t>
      </w:r>
      <w:r>
        <w:rPr>
          <w:rFonts w:hint="eastAsia" w:ascii="宋体" w:hAnsi="宋体"/>
          <w:sz w:val="24"/>
          <w:szCs w:val="24"/>
        </w:rPr>
        <w:t>际通径不得低于40，然后外丝头与三角法兰连接。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sz w:val="24"/>
          <w:szCs w:val="28"/>
        </w:rPr>
        <w:t>4.1.6</w:t>
      </w:r>
      <w:r>
        <w:rPr>
          <w:rFonts w:hint="eastAsia" w:ascii="宋体" w:hAnsi="宋体"/>
          <w:sz w:val="24"/>
          <w:szCs w:val="24"/>
        </w:rPr>
        <w:t>、加注机开关：每把枪各自独立的两个开关即手动开关及无线遥控开关。</w:t>
      </w:r>
    </w:p>
    <w:p>
      <w:pPr>
        <w:spacing w:line="360" w:lineRule="auto"/>
        <w:ind w:firstLine="360" w:firstLineChars="150"/>
        <w:rPr>
          <w:rFonts w:ascii="宋体" w:hAnsi="宋体"/>
          <w:szCs w:val="21"/>
        </w:rPr>
      </w:pPr>
      <w:r>
        <w:rPr>
          <w:rFonts w:hint="eastAsia" w:ascii="新宋体" w:hAnsi="新宋体" w:eastAsia="新宋体"/>
          <w:sz w:val="24"/>
          <w:szCs w:val="28"/>
        </w:rPr>
        <w:t>4.2、机器内部：</w:t>
      </w:r>
    </w:p>
    <w:p>
      <w:pPr>
        <w:spacing w:line="360" w:lineRule="auto"/>
        <w:ind w:left="239" w:leftChars="114"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两套独立的机械部分，即不锈钢齿轮流量计，不锈钢离心泵，从进口至出口（不含出管及加注枪），介质所经过通路全部是304不锈钢。</w:t>
      </w:r>
    </w:p>
    <w:p>
      <w:pPr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五、其他或环境要求：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1、本技术协议经甲乙双方确认后作为订货合同当技术附件，与订货合同具有同等的法律效力。协议一式四份，甲方一份，乙方俩份，审核方一份。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2、本技术协议未尽事宜，有甲乙双方协商确定。</w:t>
      </w:r>
    </w:p>
    <w:p>
      <w:pPr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六、安装、保修、售后服务：</w:t>
      </w:r>
    </w:p>
    <w:p>
      <w:pPr>
        <w:spacing w:line="360" w:lineRule="auto"/>
        <w:ind w:left="281" w:leftChars="134" w:firstLine="240" w:firstLineChars="100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>1、供方不负责现场加注机的安装、管道施工及土建基础设施。</w:t>
      </w:r>
    </w:p>
    <w:p>
      <w:pPr>
        <w:spacing w:line="360" w:lineRule="auto"/>
        <w:ind w:left="281" w:leftChars="134" w:firstLine="240" w:firstLineChars="100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>2、关于调试：不去现场。按操作说明书及视频指导。</w:t>
      </w:r>
    </w:p>
    <w:p>
      <w:pPr>
        <w:spacing w:line="360" w:lineRule="auto"/>
        <w:ind w:left="281" w:leftChars="134" w:firstLine="240" w:firstLineChars="100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>3、供方负责化工原料加注机运输至需方单位。</w:t>
      </w:r>
    </w:p>
    <w:p>
      <w:pPr>
        <w:spacing w:line="360" w:lineRule="auto"/>
        <w:ind w:left="61" w:leftChars="29" w:firstLine="480" w:firstLineChars="200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>4、该设备免费保修期为1年，且提供终生技术支持。供方承诺保修期内设备出现故障，2个小时内做出反应。保修期后热线电话技术支持，需方提出委托维护要求时，供方可以实施有偿技术服务，并在36小时达到现场。供方承诺可以及时提供所有本机的维修配件。</w:t>
      </w:r>
    </w:p>
    <w:p>
      <w:pPr>
        <w:spacing w:line="360" w:lineRule="auto"/>
        <w:rPr>
          <w:rFonts w:hint="eastAsia"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七、付款方式：</w:t>
      </w:r>
    </w:p>
    <w:p>
      <w:pPr>
        <w:spacing w:line="360" w:lineRule="auto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>（以下空白，无正文）</w:t>
      </w:r>
    </w:p>
    <w:p>
      <w:pPr>
        <w:spacing w:line="360" w:lineRule="auto"/>
        <w:rPr>
          <w:rFonts w:ascii="新宋体" w:hAnsi="新宋体" w:eastAsia="新宋体"/>
          <w:sz w:val="24"/>
          <w:szCs w:val="28"/>
        </w:rPr>
      </w:pPr>
      <w:r>
        <w:rPr>
          <w:rFonts w:hint="eastAsia" w:ascii="新宋体" w:hAnsi="新宋体" w:eastAsia="新宋体"/>
          <w:sz w:val="24"/>
          <w:szCs w:val="28"/>
        </w:rPr>
        <w:t xml:space="preserve">   </w:t>
      </w:r>
    </w:p>
    <w:p>
      <w:pPr>
        <w:spacing w:line="360" w:lineRule="auto"/>
        <w:ind w:right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>
      <w:pPr>
        <w:spacing w:line="360" w:lineRule="auto"/>
        <w:ind w:right="720"/>
        <w:rPr>
          <w:sz w:val="18"/>
          <w:szCs w:val="18"/>
        </w:rPr>
      </w:pPr>
    </w:p>
    <w:p>
      <w:pPr>
        <w:spacing w:line="360" w:lineRule="auto"/>
        <w:ind w:right="720"/>
        <w:rPr>
          <w:sz w:val="18"/>
          <w:szCs w:val="18"/>
        </w:rPr>
      </w:pPr>
    </w:p>
    <w:p>
      <w:pPr>
        <w:spacing w:line="360" w:lineRule="auto"/>
        <w:ind w:right="720"/>
        <w:rPr>
          <w:sz w:val="18"/>
          <w:szCs w:val="18"/>
        </w:rPr>
      </w:pPr>
    </w:p>
    <w:p>
      <w:pPr>
        <w:spacing w:line="360" w:lineRule="auto"/>
        <w:ind w:right="720"/>
        <w:rPr>
          <w:sz w:val="18"/>
          <w:szCs w:val="18"/>
        </w:rPr>
      </w:pPr>
    </w:p>
    <w:p>
      <w:pPr>
        <w:spacing w:line="360" w:lineRule="auto"/>
        <w:ind w:right="720"/>
        <w:rPr>
          <w:sz w:val="18"/>
          <w:szCs w:val="18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widowControl/>
        <w:jc w:val="left"/>
        <w:rPr>
          <w:rFonts w:ascii="新宋体" w:hAnsi="新宋体" w:eastAsia="新宋体"/>
          <w:sz w:val="15"/>
          <w:szCs w:val="15"/>
        </w:rPr>
      </w:pPr>
    </w:p>
    <w:p>
      <w:pPr>
        <w:spacing w:line="360" w:lineRule="auto"/>
        <w:rPr>
          <w:rFonts w:ascii="新宋体" w:hAnsi="新宋体" w:eastAsia="新宋体"/>
          <w:b/>
          <w:sz w:val="30"/>
          <w:szCs w:val="30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签字审批页</w:t>
      </w:r>
    </w:p>
    <w:p>
      <w:pPr>
        <w:spacing w:line="360" w:lineRule="auto"/>
        <w:jc w:val="center"/>
        <w:rPr>
          <w:rFonts w:ascii="新宋体" w:hAnsi="新宋体" w:eastAsia="新宋体"/>
          <w:b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使用方（章）：</w:t>
      </w:r>
      <w:r>
        <w:rPr>
          <w:rFonts w:hint="eastAsia"/>
          <w:sz w:val="30"/>
          <w:szCs w:val="30"/>
        </w:rPr>
        <w:t>鄂尔多斯市神东天隆化工有限责任公司</w:t>
      </w:r>
    </w:p>
    <w:p>
      <w:pPr>
        <w:spacing w:line="360" w:lineRule="auto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</w:t>
      </w:r>
    </w:p>
    <w:p>
      <w:pPr>
        <w:spacing w:line="360" w:lineRule="auto"/>
        <w:ind w:right="360"/>
        <w:jc w:val="center"/>
        <w:rPr>
          <w:sz w:val="18"/>
          <w:szCs w:val="18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单位分管领导：                      经办人：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审批日期：     年   月  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审核方（章）：内蒙古神东天隆集团股份有限公司机电动力部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单位分管领导：                      经办人：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审批日期：     年   月   日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</w:t>
      </w:r>
    </w:p>
    <w:p>
      <w:pPr>
        <w:spacing w:line="360" w:lineRule="auto"/>
        <w:ind w:right="360"/>
        <w:jc w:val="center"/>
        <w:rPr>
          <w:sz w:val="18"/>
          <w:szCs w:val="18"/>
        </w:rPr>
      </w:pPr>
    </w:p>
    <w:p>
      <w:pPr>
        <w:spacing w:line="360" w:lineRule="auto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</w:t>
      </w:r>
    </w:p>
    <w:p>
      <w:pPr>
        <w:spacing w:line="360" w:lineRule="auto"/>
        <w:ind w:right="360"/>
        <w:jc w:val="center"/>
        <w:rPr>
          <w:sz w:val="18"/>
          <w:szCs w:val="18"/>
        </w:rPr>
      </w:pPr>
    </w:p>
    <w:p>
      <w:pPr>
        <w:spacing w:line="360" w:lineRule="auto"/>
        <w:ind w:right="360"/>
        <w:jc w:val="center"/>
        <w:rPr>
          <w:sz w:val="18"/>
          <w:szCs w:val="18"/>
        </w:rPr>
      </w:pPr>
    </w:p>
    <w:p>
      <w:pPr>
        <w:spacing w:line="360" w:lineRule="auto"/>
        <w:ind w:right="360"/>
        <w:jc w:val="center"/>
        <w:rPr>
          <w:sz w:val="18"/>
          <w:szCs w:val="18"/>
        </w:rPr>
      </w:pPr>
    </w:p>
    <w:p>
      <w:pPr>
        <w:spacing w:line="360" w:lineRule="auto"/>
        <w:ind w:right="360"/>
        <w:rPr>
          <w:sz w:val="18"/>
          <w:szCs w:val="18"/>
        </w:rPr>
      </w:pPr>
    </w:p>
    <w:p>
      <w:pPr>
        <w:spacing w:line="360" w:lineRule="auto"/>
        <w:ind w:right="72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</w:t>
      </w:r>
    </w:p>
    <w:p>
      <w:pPr>
        <w:spacing w:line="360" w:lineRule="auto"/>
        <w:ind w:right="660" w:firstLine="6570" w:firstLineChars="3650"/>
        <w:jc w:val="right"/>
        <w:rPr>
          <w:rFonts w:hint="eastAsia"/>
          <w:color w:val="7F7F7F" w:themeColor="background1" w:themeShade="80"/>
          <w:sz w:val="15"/>
          <w:szCs w:val="15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</w:t>
      </w:r>
      <w:r>
        <w:rPr>
          <w:rFonts w:hint="eastAsia"/>
          <w:color w:val="7F7F7F" w:themeColor="background1" w:themeShade="80"/>
          <w:sz w:val="15"/>
          <w:szCs w:val="15"/>
        </w:rPr>
        <w:t xml:space="preserve"> </w:t>
      </w:r>
    </w:p>
    <w:p>
      <w:pPr>
        <w:spacing w:line="360" w:lineRule="auto"/>
        <w:ind w:right="660" w:firstLine="5475" w:firstLineChars="3650"/>
        <w:jc w:val="right"/>
        <w:rPr>
          <w:rFonts w:hint="eastAsia"/>
          <w:color w:val="7F7F7F" w:themeColor="background1" w:themeShade="80"/>
          <w:sz w:val="15"/>
          <w:szCs w:val="15"/>
        </w:rPr>
      </w:pPr>
    </w:p>
    <w:p>
      <w:pPr>
        <w:spacing w:line="360" w:lineRule="auto"/>
        <w:ind w:right="660" w:firstLine="6570" w:firstLineChars="3650"/>
        <w:jc w:val="right"/>
        <w:rPr>
          <w:sz w:val="18"/>
          <w:szCs w:val="18"/>
        </w:rPr>
      </w:pPr>
    </w:p>
    <w:sectPr>
      <w:pgSz w:w="11906" w:h="16838"/>
      <w:pgMar w:top="993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2Q1YzhkN2U3ZTg4MTM0MTU2ZWM3Y2ZmZWE5MjkifQ=="/>
  </w:docVars>
  <w:rsids>
    <w:rsidRoot w:val="00C8236B"/>
    <w:rsid w:val="00317D38"/>
    <w:rsid w:val="00710426"/>
    <w:rsid w:val="00783CCC"/>
    <w:rsid w:val="007B50EF"/>
    <w:rsid w:val="009E5CBD"/>
    <w:rsid w:val="00BA56D2"/>
    <w:rsid w:val="00C24353"/>
    <w:rsid w:val="00C8236B"/>
    <w:rsid w:val="00E262B1"/>
    <w:rsid w:val="00FC7DC2"/>
    <w:rsid w:val="2B49712D"/>
    <w:rsid w:val="5BF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AADA-0785-423B-9EF3-257CD0420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1230</Characters>
  <Lines>13</Lines>
  <Paragraphs>3</Paragraphs>
  <TotalTime>33</TotalTime>
  <ScaleCrop>false</ScaleCrop>
  <LinksUpToDate>false</LinksUpToDate>
  <CharactersWithSpaces>1754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2022-06-07T02:49:00Z</dcterms:created>
  <dc:creator>Administrator</dc:creator>
  <cp:lastModifiedBy>贺刚</cp:lastModifiedBy>
  <dcterms:modified xsi:type="dcterms:W3CDTF">2022-06-15T07:09:32Z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251BB33A5C28489DA1C03CB444714BE7</vt:lpwstr>
  </property>
</Properties>
</file>