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YX-2022-ZX-001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lang w:val="en-US" w:eastAsia="zh-CN"/>
        </w:rPr>
        <w:t>内蒙古神东天隆运销分公司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关于购置（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乌兰木伦集装站701皮带</w:t>
      </w: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）设备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内蒙古神东天隆集团有限公司煤炭运销分公司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8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4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YX-2022-ZX-001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使用方：内蒙古神东天隆集团有限公司煤炭运销分公司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701皮带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EP200-1200*6-4.5+1.5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420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乌兰木伦集装站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基本参数：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胶带：煤矿用整芯带，型号：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EP200-1200*6-4.5+1.5。</w:t>
      </w:r>
    </w:p>
    <w:p>
      <w:pPr>
        <w:ind w:left="1470" w:hanging="1470" w:hangingChars="7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2、芯层材料（贴胶）：使增强材料织物层之间有良好的粘合强度，防止出现分层。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基本要求：</w:t>
      </w:r>
    </w:p>
    <w:p>
      <w:pPr>
        <w:pStyle w:val="8"/>
        <w:numPr>
          <w:ilvl w:val="0"/>
          <w:numId w:val="2"/>
        </w:numPr>
        <w:ind w:left="112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由于承受交变弯曲荷载，故要求带芯夹层与橡胶层间要有较高的粘附强度，以防层间剥离和撕开。</w:t>
      </w:r>
    </w:p>
    <w:p>
      <w:pPr>
        <w:pStyle w:val="8"/>
        <w:numPr>
          <w:ilvl w:val="0"/>
          <w:numId w:val="2"/>
        </w:numPr>
        <w:ind w:left="112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要求加工精细，保证在受纯拉伸时，各层均匀承受荷载。</w:t>
      </w:r>
    </w:p>
    <w:p>
      <w:pPr>
        <w:pStyle w:val="8"/>
        <w:numPr>
          <w:ilvl w:val="0"/>
          <w:numId w:val="2"/>
        </w:numPr>
        <w:ind w:left="112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为延长试用寿命，应使输送带具有足够的耐磨性。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质量保证、付款方式及售后：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640" w:firstLineChars="20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供方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应有健全的质量保证体系。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640" w:firstLineChars="20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供方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应有负责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质量保证的专职人员。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设备的设计应满足国家的有关标准、规范的要求，并应充分考虑当地环境条件和使用条件的影响。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设备用材应采用能满足其使用条件的优质材料，零部件的选择应以技术先进、成熟可靠、安全耐用为原则。严禁采用国家公布的淘汰产品。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产品质量保质期一年，质量实行“三包”。质保期自设备安装调试后一年或合同签定之日起18个月，以先到日期为准。</w:t>
      </w:r>
    </w:p>
    <w:p>
      <w:pPr>
        <w:autoSpaceDE w:val="0"/>
        <w:autoSpaceDN w:val="0"/>
        <w:adjustRightInd w:val="0"/>
        <w:snapToGrid w:val="0"/>
        <w:spacing w:line="460" w:lineRule="exact"/>
        <w:ind w:left="638" w:leftChars="304" w:firstLine="0" w:firstLineChars="0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质保期内设备若出现问题，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供方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必须在4小时内做出应答，48小时内到达现场，并做到问题不解决不离开现场。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内蒙古神东天隆集团有限公司煤炭运销分公司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0D2EDED2"/>
    <w:multiLevelType w:val="singleLevel"/>
    <w:tmpl w:val="0D2EDED2"/>
    <w:lvl w:ilvl="0" w:tentative="0">
      <w:start w:val="1"/>
      <w:numFmt w:val="decimal"/>
      <w:suff w:val="nothing"/>
      <w:lvlText w:val="%1、"/>
      <w:lvlJc w:val="left"/>
      <w:pPr>
        <w:ind w:left="1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6835"/>
    <w:rsid w:val="004325CA"/>
    <w:rsid w:val="02131202"/>
    <w:rsid w:val="0E0F5BB8"/>
    <w:rsid w:val="18C36316"/>
    <w:rsid w:val="1B915FA6"/>
    <w:rsid w:val="23851FDE"/>
    <w:rsid w:val="29FF6835"/>
    <w:rsid w:val="34484BDD"/>
    <w:rsid w:val="3E1C06CC"/>
    <w:rsid w:val="45781064"/>
    <w:rsid w:val="514813E1"/>
    <w:rsid w:val="529E62E1"/>
    <w:rsid w:val="577D1EC7"/>
    <w:rsid w:val="62C5556D"/>
    <w:rsid w:val="67AB10D2"/>
    <w:rsid w:val="6EB6090B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2022-08-16T06:30:36Z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AE45B873C9BA427388EFAC2CD6F7ED81</vt:lpwstr>
  </property>
</Properties>
</file>