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wordWrap w:val="0"/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DHZ-2022-JJJH-22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lang w:val="en-US" w:eastAsia="zh-CN"/>
        </w:rPr>
        <w:t>井下用管路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</w:p>
    <w:p>
      <w:pPr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default"/>
          <w:highlight w:val="none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29日</w:t>
      </w:r>
    </w:p>
    <w:p>
      <w:pPr>
        <w:wordWrap w:val="0"/>
        <w:jc w:val="right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DHZ-2022-JJJH-22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使用方：内蒙古神东天隆集团股份有限公司大海则煤矿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</w:t>
      </w:r>
    </w:p>
    <w:p>
      <w:pPr>
        <w:pStyle w:val="12"/>
        <w:ind w:left="0" w:leftChars="0" w:firstLine="562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一、基本信息：</w:t>
      </w:r>
    </w:p>
    <w:tbl>
      <w:tblPr>
        <w:tblStyle w:val="10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6"/>
        <w:gridCol w:w="1288"/>
        <w:gridCol w:w="128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用途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FRPE-KML2.5/225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4950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消防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洒水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FRPE-KML2.5/160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11360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消防洒水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FRPE-KML2.5/110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5040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供水施救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FRPE-KML2.5/225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4110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排水管路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煤矿用纤维增强聚乙烯管（高直管）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FRPE-KML2.5/160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米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11146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排水管路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大海则煤矿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2.1消防洒水：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（1）货物名称：煤矿用纤维增强聚乙烯液体管（高直管）</w:t>
      </w:r>
    </w:p>
    <w:p>
      <w:pPr>
        <w:pStyle w:val="3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（2）规格型号：FRPE-KML2.5/225，FRPE-KML2.5/160，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（4）耐压能力：≥2.5Mpa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（4）颜色：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darkGreen"/>
          <w:lang w:val="en-US" w:eastAsia="zh-CN" w:bidi="ar-SA"/>
        </w:rPr>
        <w:t>绿色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（6）材质：纤维增强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聚乙烯PE100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（7）连接方式：扣压活套法兰连接（扣压接头及法兰盘必须做镀锌防锈处理）；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供水施救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（1）货物名称：煤矿用纤维增强聚乙烯液体管（高直管）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（2）规格型号：FRPE-KML2.5/110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（4）耐压能力：≥2.5Mpa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（5）颜色：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cyan"/>
          <w:lang w:val="en-US" w:eastAsia="zh-CN"/>
        </w:rPr>
        <w:t>青绿色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（6）材质：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聚乙烯PE100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（7）连接方式：扣压活套法兰连接（扣压接头及法兰盘必须做镀锌防锈处理）；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排水管路：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（1）货物名称：煤矿用纤维增强聚乙烯液体管（高直管）</w:t>
      </w:r>
    </w:p>
    <w:p>
      <w:pPr>
        <w:pStyle w:val="3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（2）规格型号：FRPE-KML2.5/225，FRPE-KML2.5/160，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（3）长度:6米/根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（4）耐压能力：≥2.5Mpa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（4）颜色：蓝色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（6）材质：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聚乙烯PE100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（7）连接方式：扣压活套法兰连接（扣压接头及法兰盘必须做镀锌防锈处理）；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基本要求：</w:t>
      </w:r>
    </w:p>
    <w:p>
      <w:pPr>
        <w:spacing w:line="520" w:lineRule="exact"/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3.1</w:t>
      </w:r>
      <w:r>
        <w:rPr>
          <w:rFonts w:hint="eastAsia"/>
          <w:sz w:val="28"/>
          <w:szCs w:val="28"/>
          <w:lang w:val="en-US" w:eastAsia="zh-CN"/>
        </w:rPr>
        <w:t>执行标准：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CJ/T189-2007 《钢丝网骨架塑料(聚乙烯)复合管》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GB/T2791《胶粘剂T剥离强度试验方法，挠性材料对挠性材料》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GB/T8806《塑料管材尺寸测量方法（eqv ISO 3126:1974）》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GB/T15560-1995《流体输送用塑料管材液压瞬时爆破和耐压试验方法》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AQ1043-2007《矿用产品安全标志标识》</w:t>
      </w:r>
    </w:p>
    <w:p>
      <w:pPr>
        <w:pStyle w:val="9"/>
        <w:numPr>
          <w:ilvl w:val="0"/>
          <w:numId w:val="0"/>
        </w:numPr>
        <w:ind w:left="630" w:leftChars="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3.2</w:t>
      </w:r>
      <w:r>
        <w:rPr>
          <w:rFonts w:hint="eastAsia"/>
          <w:sz w:val="28"/>
          <w:szCs w:val="28"/>
        </w:rPr>
        <w:t>标志、包装、运输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管材</w:t>
      </w:r>
      <w:r>
        <w:rPr>
          <w:rFonts w:hint="eastAsia"/>
          <w:sz w:val="28"/>
          <w:szCs w:val="28"/>
        </w:rPr>
        <w:t>出厂时应有下列标志：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1）公称外径；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2）公称压力；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3）生产厂名或商标； 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4）生产日期或生产批号；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5）用户的其他要求。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2、包装。按供需双方商定要求进行。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3、运输。管件运输时，不得受到划伤、剧烈的撞击、不得抛摔，严禁油污和化学污染。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生产的煤矿用纤维增强聚乙烯管（高直管）及管件完全符合《钢丝网骨架塑料(聚乙烯)复合管材及管件》（CJ/T189-2007），CJ/T为建设部发布的中华人民共和国城镇建设行业标准。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出厂的管材颜色具体按供货范围要求而定。其外观一定保证内表面清洁、光滑、平整，无明显划伤或分解变色线，无纤维裸露；管材内外表面不允许有明显的划痕、气泡、杂质、颜色不均的缺陷产品出厂，且管材两端应切割平整，并与管轴线垂直，端头进行防渗密封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3.5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供货范围包括相应管材连接所需螺栓螺母、胶垫以及三通、短节等管件。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其他或环境要求：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（一）运行环境条件要求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1、运行地点：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煤矿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井下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2、海拔高度：+1000m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-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+1300m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3、瓦斯等级:  低瓦斯矿井</w:t>
      </w:r>
    </w:p>
    <w:p>
      <w:pPr>
        <w:pStyle w:val="9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（二）其他要求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1、随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资料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生产厂家应提供产品出厂检验报告，合格证书，安标证书等技术资料纸质版4套，电子版1套，电子资料和纸质版资料必须相符。</w:t>
      </w:r>
    </w:p>
    <w:p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设备及材料的运输、卸车均由中标方负责。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3、货到矿后取样送第三方进行阻燃、抗静电等性能检测，并出具合格检测报告，费用由乙方承担。</w:t>
      </w: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4、因现场场地有限后期管路需要分批次供货，具体到矿时间由甲方提前一周书面通知乙方。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质量保证、售后：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质量保证期限：设备到矿验收合格日起，质保期为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18个月或使用1年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。质保期内出现的质量问题均由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供货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方无偿解决处理（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人为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en-US" w:bidi="ar-SA"/>
        </w:rPr>
        <w:t>因素造成的损坏除外）且所质保产品必须与原产品无异。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货到后组织第三方机构检测鉴定，检测不合格乙方无条件退换，产生费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用由乙方无条件承担。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none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内蒙古神东天隆集团股份有限公司大海则煤矿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</w:t>
      </w:r>
    </w:p>
    <w:p>
      <w:pPr>
        <w:rPr>
          <w:highlight w:val="none"/>
        </w:rPr>
      </w:pP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28"/>
        <w:szCs w:val="28"/>
      </w:rPr>
    </w:lvl>
  </w:abstractNum>
  <w:abstractNum w:abstractNumId="1">
    <w:nsid w:val="18028AD9"/>
    <w:multiLevelType w:val="singleLevel"/>
    <w:tmpl w:val="18028A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Dc1OGU0MjBlYzM4MGE0NjgwNTY5NDkzOWUwOWEifQ=="/>
  </w:docVars>
  <w:rsids>
    <w:rsidRoot w:val="52A770CC"/>
    <w:rsid w:val="17420EBD"/>
    <w:rsid w:val="29E50D07"/>
    <w:rsid w:val="49BD5EAC"/>
    <w:rsid w:val="522238F4"/>
    <w:rsid w:val="52A770CC"/>
    <w:rsid w:val="72FB30AB"/>
    <w:rsid w:val="7EB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eastAsia="仿宋_GB2312"/>
      <w:bCs/>
      <w:color w:val="000000"/>
      <w:sz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自控1"/>
    <w:basedOn w:val="14"/>
    <w:qFormat/>
    <w:uiPriority w:val="0"/>
    <w:pPr>
      <w:topLinePunct/>
      <w:spacing w:line="312" w:lineRule="exact"/>
      <w:ind w:left="879" w:hanging="454" w:firstLineChars="0"/>
    </w:pPr>
    <w:rPr>
      <w:rFonts w:ascii="Times New Roman" w:cs="Arial"/>
      <w:kern w:val="21"/>
      <w:szCs w:val="21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正文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1609</Words>
  <Characters>1932</Characters>
  <Lines>0</Lines>
  <Paragraphs>0</Paragraphs>
  <TotalTime>117</TotalTime>
  <ScaleCrop>false</ScaleCrop>
  <LinksUpToDate>false</LinksUpToDate>
  <CharactersWithSpaces>2104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2022-10-20T08:24:00Z</dcterms:created>
  <dc:creator>宁静致远</dc:creator>
  <cp:lastModifiedBy>疯魔</cp:lastModifiedBy>
  <dcterms:modified xsi:type="dcterms:W3CDTF">2022-10-27T10:17:48Z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C369457EBA644A98A074B1DFEA67A778</vt:lpwstr>
  </property>
</Properties>
</file>