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0"/>
        </w:tabs>
        <w:wordWrap w:val="0"/>
        <w:ind w:left="421" w:hanging="421" w:hangingChars="131"/>
        <w:jc w:val="right"/>
        <w:rPr>
          <w:rFonts w:ascii="宋体" w:hAnsi="宋体"/>
          <w:b/>
          <w:sz w:val="72"/>
          <w:szCs w:val="72"/>
        </w:rPr>
      </w:pPr>
      <w:r>
        <w:rPr>
          <w:rFonts w:hint="eastAsia" w:ascii="黑体" w:hAnsi="黑体" w:eastAsia="黑体" w:cs="黑体"/>
          <w:b/>
          <w:sz w:val="32"/>
          <w:szCs w:val="32"/>
        </w:rPr>
        <w:t>编号：</w:t>
      </w:r>
      <w:r>
        <w:rPr>
          <w:rFonts w:hint="eastAsia" w:ascii="黑体" w:hAnsi="黑体" w:eastAsia="黑体" w:cs="黑体"/>
          <w:b/>
          <w:bCs/>
          <w:sz w:val="32"/>
          <w:szCs w:val="32"/>
        </w:rPr>
        <w:t>DHZ-2022-ZX-020</w:t>
      </w:r>
    </w:p>
    <w:p>
      <w:pPr>
        <w:ind w:left="420"/>
        <w:jc w:val="center"/>
        <w:rPr>
          <w:rFonts w:ascii="宋体" w:hAnsi="宋体"/>
          <w:b/>
          <w:sz w:val="72"/>
          <w:szCs w:val="72"/>
        </w:rPr>
      </w:pPr>
    </w:p>
    <w:p>
      <w:pPr>
        <w:ind w:left="420"/>
        <w:jc w:val="center"/>
        <w:rPr>
          <w:rFonts w:ascii="宋体" w:hAnsi="宋体"/>
          <w:b/>
          <w:sz w:val="44"/>
          <w:szCs w:val="44"/>
        </w:rPr>
      </w:pPr>
    </w:p>
    <w:p>
      <w:pPr>
        <w:ind w:left="420"/>
        <w:jc w:val="center"/>
        <w:rPr>
          <w:rFonts w:ascii="宋体" w:hAnsi="宋体"/>
          <w:b/>
          <w:sz w:val="44"/>
          <w:szCs w:val="44"/>
        </w:rPr>
      </w:pPr>
    </w:p>
    <w:p>
      <w:pPr>
        <w:jc w:val="center"/>
        <w:rPr>
          <w:rFonts w:ascii="宋体" w:hAnsi="宋体" w:cs="宋体"/>
          <w:b/>
          <w:sz w:val="40"/>
          <w:szCs w:val="40"/>
        </w:rPr>
      </w:pPr>
      <w:r>
        <w:rPr>
          <w:rFonts w:hint="eastAsia" w:ascii="宋体" w:hAnsi="宋体" w:cs="宋体"/>
          <w:b/>
          <w:sz w:val="40"/>
          <w:szCs w:val="40"/>
        </w:rPr>
        <w:t>内蒙古神东天隆集团股份有限公司大海则煤矿</w:t>
      </w:r>
    </w:p>
    <w:p>
      <w:pPr>
        <w:jc w:val="center"/>
        <w:rPr>
          <w:rFonts w:ascii="宋体" w:hAnsi="宋体" w:cs="宋体"/>
          <w:b/>
          <w:bCs/>
          <w:w w:val="80"/>
          <w:sz w:val="36"/>
          <w:szCs w:val="36"/>
        </w:rPr>
      </w:pPr>
      <w:r>
        <w:rPr>
          <w:rFonts w:hint="eastAsia" w:ascii="宋体" w:hAnsi="宋体" w:cs="宋体"/>
          <w:b/>
          <w:bCs/>
          <w:w w:val="80"/>
          <w:sz w:val="36"/>
          <w:szCs w:val="36"/>
        </w:rPr>
        <w:t>智能型局部通风机及电气设备</w:t>
      </w:r>
    </w:p>
    <w:p>
      <w:pPr>
        <w:jc w:val="center"/>
        <w:rPr>
          <w:rFonts w:ascii="宋体" w:hAnsi="宋体" w:cs="宋体"/>
          <w:b/>
          <w:sz w:val="36"/>
          <w:szCs w:val="36"/>
        </w:rPr>
      </w:pPr>
    </w:p>
    <w:p>
      <w:pPr>
        <w:jc w:val="center"/>
        <w:rPr>
          <w:rFonts w:ascii="宋体" w:hAnsi="宋体" w:cs="宋体"/>
          <w:b/>
          <w:sz w:val="36"/>
          <w:szCs w:val="36"/>
        </w:rPr>
      </w:pPr>
    </w:p>
    <w:p>
      <w:pPr>
        <w:jc w:val="center"/>
        <w:rPr>
          <w:rFonts w:ascii="宋体" w:hAnsi="宋体" w:cs="宋体"/>
          <w:b/>
          <w:sz w:val="96"/>
          <w:szCs w:val="96"/>
        </w:rPr>
      </w:pPr>
      <w:r>
        <w:rPr>
          <w:rFonts w:hint="eastAsia" w:ascii="宋体" w:hAnsi="宋体" w:cs="宋体"/>
          <w:b/>
          <w:sz w:val="84"/>
          <w:szCs w:val="84"/>
        </w:rPr>
        <w:t>技 术 要 求</w:t>
      </w:r>
    </w:p>
    <w:p>
      <w:pPr>
        <w:jc w:val="center"/>
        <w:rPr>
          <w:rFonts w:ascii="宋体" w:hAnsi="宋体" w:cs="宋体"/>
          <w:b/>
          <w:sz w:val="32"/>
          <w:szCs w:val="32"/>
        </w:rPr>
      </w:pPr>
    </w:p>
    <w:p>
      <w:pPr>
        <w:tabs>
          <w:tab w:val="left" w:pos="1227"/>
        </w:tabs>
        <w:jc w:val="center"/>
        <w:rPr>
          <w:rFonts w:ascii="宋体" w:hAnsi="宋体" w:cs="宋体"/>
          <w:b/>
          <w:sz w:val="32"/>
          <w:szCs w:val="32"/>
        </w:rPr>
      </w:pPr>
    </w:p>
    <w:p>
      <w:pPr>
        <w:tabs>
          <w:tab w:val="left" w:pos="1227"/>
        </w:tabs>
        <w:jc w:val="center"/>
        <w:rPr>
          <w:rFonts w:ascii="宋体" w:hAnsi="宋体" w:cs="宋体"/>
          <w:b/>
          <w:sz w:val="32"/>
          <w:szCs w:val="32"/>
        </w:rPr>
      </w:pPr>
    </w:p>
    <w:p>
      <w:pPr>
        <w:pStyle w:val="2"/>
        <w:rPr>
          <w:lang w:bidi="ar-SA"/>
        </w:rPr>
      </w:pPr>
    </w:p>
    <w:p>
      <w:pPr>
        <w:pStyle w:val="2"/>
        <w:rPr>
          <w:lang w:bidi="ar-SA"/>
        </w:rPr>
      </w:pPr>
    </w:p>
    <w:p>
      <w:pPr>
        <w:pStyle w:val="2"/>
        <w:rPr>
          <w:lang w:bidi="ar-SA"/>
        </w:rPr>
      </w:pPr>
    </w:p>
    <w:p>
      <w:pPr>
        <w:ind w:leftChars="-67" w:hanging="141" w:hangingChars="44"/>
        <w:jc w:val="center"/>
        <w:rPr>
          <w:rFonts w:asciiTheme="minorEastAsia" w:hAnsiTheme="minorEastAsia" w:eastAsiaTheme="minorEastAsia" w:cstheme="minorEastAsia"/>
          <w:sz w:val="32"/>
          <w:szCs w:val="32"/>
        </w:rPr>
      </w:pPr>
      <w:r>
        <w:rPr>
          <w:rFonts w:hint="eastAsia" w:ascii="宋体" w:hAnsi="宋体" w:cs="宋体"/>
          <w:b/>
          <w:sz w:val="32"/>
          <w:szCs w:val="21"/>
        </w:rPr>
        <w:t xml:space="preserve">  </w:t>
      </w:r>
      <w:r>
        <w:rPr>
          <w:rFonts w:hint="eastAsia" w:asciiTheme="minorEastAsia" w:hAnsiTheme="minorEastAsia" w:eastAsiaTheme="minorEastAsia" w:cstheme="minorEastAsia"/>
          <w:b/>
          <w:bCs/>
          <w:sz w:val="32"/>
          <w:szCs w:val="32"/>
        </w:rPr>
        <w:t>使用方：</w:t>
      </w:r>
      <w:r>
        <w:rPr>
          <w:rFonts w:hint="eastAsia" w:asciiTheme="minorEastAsia" w:hAnsiTheme="minorEastAsia" w:eastAsiaTheme="minorEastAsia" w:cstheme="minorEastAsia"/>
          <w:sz w:val="32"/>
          <w:szCs w:val="32"/>
        </w:rPr>
        <w:t>内蒙古神东天隆集团股份有限公司大海则煤矿</w:t>
      </w:r>
    </w:p>
    <w:p>
      <w:pPr>
        <w:jc w:val="center"/>
        <w:rPr>
          <w:sz w:val="32"/>
          <w:szCs w:val="32"/>
        </w:rPr>
      </w:pPr>
      <w:r>
        <w:rPr>
          <w:rFonts w:hint="eastAsia" w:asciiTheme="minorEastAsia" w:hAnsiTheme="minorEastAsia" w:eastAsiaTheme="minorEastAsia" w:cstheme="minorEastAsia"/>
          <w:b/>
          <w:bCs/>
          <w:sz w:val="32"/>
          <w:szCs w:val="32"/>
        </w:rPr>
        <w:t xml:space="preserve"> 审核方：</w:t>
      </w:r>
      <w:r>
        <w:rPr>
          <w:rFonts w:hint="eastAsia" w:asciiTheme="minorEastAsia" w:hAnsiTheme="minorEastAsia" w:eastAsiaTheme="minorEastAsia" w:cstheme="minorEastAsia"/>
          <w:sz w:val="32"/>
          <w:szCs w:val="32"/>
        </w:rPr>
        <w:t>内蒙古神东天隆集团股份有限公司机电动力部</w:t>
      </w:r>
      <w:r>
        <w:rPr>
          <w:rFonts w:hint="eastAsia" w:asciiTheme="minorEastAsia" w:hAnsiTheme="minorEastAsia" w:eastAsiaTheme="minorEastAsia" w:cstheme="minorEastAsia"/>
          <w:szCs w:val="21"/>
        </w:rPr>
        <w:t xml:space="preserve">     </w:t>
      </w:r>
      <w:r>
        <w:rPr>
          <w:rFonts w:hint="eastAsia"/>
          <w:sz w:val="30"/>
          <w:szCs w:val="30"/>
        </w:rPr>
        <w:t xml:space="preserve">                                </w:t>
      </w:r>
      <w:r>
        <w:rPr>
          <w:rFonts w:hint="eastAsia"/>
          <w:sz w:val="32"/>
          <w:szCs w:val="32"/>
        </w:rPr>
        <w:t xml:space="preserve"> </w:t>
      </w:r>
    </w:p>
    <w:p>
      <w:pPr>
        <w:tabs>
          <w:tab w:val="left" w:pos="1227"/>
        </w:tabs>
        <w:jc w:val="center"/>
        <w:sectPr>
          <w:footerReference r:id="rId3" w:type="default"/>
          <w:pgSz w:w="11906" w:h="16838"/>
          <w:pgMar w:top="1440" w:right="1800" w:bottom="1440" w:left="1800" w:header="851" w:footer="992" w:gutter="0"/>
          <w:cols w:space="425" w:num="1"/>
          <w:docGrid w:type="lines" w:linePitch="312" w:charSpace="0"/>
        </w:sectPr>
      </w:pPr>
      <w:r>
        <w:rPr>
          <w:rFonts w:ascii="宋体" w:hAnsi="宋体"/>
          <w:bCs/>
          <w:sz w:val="32"/>
          <w:szCs w:val="21"/>
        </w:rPr>
        <w:t>20</w:t>
      </w:r>
      <w:r>
        <w:rPr>
          <w:rFonts w:hint="eastAsia" w:ascii="宋体" w:hAnsi="宋体"/>
          <w:bCs/>
          <w:sz w:val="32"/>
          <w:szCs w:val="21"/>
        </w:rPr>
        <w:t>22</w:t>
      </w:r>
      <w:r>
        <w:rPr>
          <w:rFonts w:ascii="宋体" w:hAnsi="宋体"/>
          <w:bCs/>
          <w:sz w:val="32"/>
          <w:szCs w:val="21"/>
        </w:rPr>
        <w:t>年</w:t>
      </w:r>
      <w:r>
        <w:rPr>
          <w:rFonts w:hint="eastAsia" w:ascii="宋体" w:hAnsi="宋体"/>
          <w:bCs/>
          <w:sz w:val="32"/>
          <w:szCs w:val="21"/>
        </w:rPr>
        <w:t>10月</w:t>
      </w:r>
    </w:p>
    <w:p>
      <w:pPr>
        <w:rPr>
          <w:rFonts w:ascii="宋体" w:hAnsi="宋体" w:cs="宋体"/>
          <w:sz w:val="32"/>
          <w:szCs w:val="32"/>
        </w:rPr>
        <w:sectPr>
          <w:pgSz w:w="11906" w:h="16838"/>
          <w:pgMar w:top="1440" w:right="1800" w:bottom="1440" w:left="1800" w:header="851" w:footer="992" w:gutter="0"/>
          <w:cols w:space="425" w:num="1"/>
          <w:docGrid w:type="lines" w:linePitch="312" w:charSpace="0"/>
        </w:sectPr>
      </w:pPr>
    </w:p>
    <w:p>
      <w:pPr>
        <w:wordWrap w:val="0"/>
        <w:jc w:val="right"/>
        <w:rPr>
          <w:rFonts w:eastAsia="黑体"/>
          <w:sz w:val="32"/>
          <w:szCs w:val="32"/>
        </w:rPr>
      </w:pPr>
      <w:r>
        <w:rPr>
          <w:rFonts w:hint="eastAsia" w:ascii="黑体" w:hAnsi="黑体" w:eastAsia="黑体" w:cs="黑体"/>
          <w:b/>
          <w:bCs/>
          <w:sz w:val="32"/>
          <w:szCs w:val="32"/>
        </w:rPr>
        <w:t>编号：DHZ-2022-ZX-020</w:t>
      </w:r>
    </w:p>
    <w:p>
      <w:pPr>
        <w:spacing w:beforeLines="100" w:afterLines="100"/>
        <w:jc w:val="center"/>
        <w:rPr>
          <w:rFonts w:asciiTheme="majorEastAsia" w:hAnsiTheme="majorEastAsia" w:eastAsiaTheme="majorEastAsia" w:cstheme="majorEastAsia"/>
          <w:sz w:val="36"/>
          <w:szCs w:val="36"/>
        </w:rPr>
      </w:pPr>
      <w:r>
        <w:rPr>
          <w:rFonts w:hint="eastAsia" w:asciiTheme="majorEastAsia" w:hAnsiTheme="majorEastAsia" w:eastAsiaTheme="majorEastAsia" w:cstheme="majorEastAsia"/>
          <w:b/>
          <w:bCs/>
          <w:sz w:val="36"/>
          <w:szCs w:val="36"/>
        </w:rPr>
        <w:t>技 术 要 求</w:t>
      </w:r>
    </w:p>
    <w:p>
      <w:pPr>
        <w:pStyle w:val="15"/>
        <w:spacing w:after="0"/>
        <w:ind w:left="0" w:leftChars="0" w:firstLine="0" w:firstLineChars="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使用方：内蒙古神东天隆集团股份有限公司大海则煤矿</w:t>
      </w:r>
    </w:p>
    <w:p>
      <w:pPr>
        <w:pStyle w:val="15"/>
        <w:spacing w:after="0"/>
        <w:ind w:left="0" w:leftChars="0" w:firstLine="0" w:firstLineChars="0"/>
        <w:rPr>
          <w:rFonts w:asciiTheme="minorEastAsia" w:hAnsiTheme="minorEastAsia" w:eastAsiaTheme="minorEastAsia" w:cstheme="minorEastAsia"/>
          <w:szCs w:val="21"/>
        </w:rPr>
      </w:pPr>
      <w:r>
        <w:rPr>
          <w:rFonts w:hint="eastAsia" w:asciiTheme="minorEastAsia" w:hAnsiTheme="minorEastAsia" w:eastAsiaTheme="minorEastAsia" w:cstheme="minorEastAsia"/>
          <w:sz w:val="32"/>
          <w:szCs w:val="32"/>
        </w:rPr>
        <w:t>审核方：内蒙古神东天隆集团股份有限公司机电动力部</w:t>
      </w:r>
      <w:r>
        <w:rPr>
          <w:rFonts w:hint="eastAsia" w:asciiTheme="minorEastAsia" w:hAnsiTheme="minorEastAsia" w:eastAsiaTheme="minorEastAsia" w:cstheme="minorEastAsia"/>
          <w:szCs w:val="21"/>
        </w:rPr>
        <w:t xml:space="preserve">               </w:t>
      </w:r>
    </w:p>
    <w:p>
      <w:pPr>
        <w:pStyle w:val="20"/>
        <w:ind w:firstLine="562" w:firstLineChars="200"/>
        <w:rPr>
          <w:rFonts w:asciiTheme="minorEastAsia" w:hAnsiTheme="minorEastAsia" w:eastAsiaTheme="minorEastAsia" w:cstheme="minorEastAsia"/>
          <w:sz w:val="28"/>
          <w:szCs w:val="32"/>
        </w:rPr>
      </w:pPr>
      <w:r>
        <w:rPr>
          <w:rFonts w:hint="eastAsia" w:asciiTheme="minorEastAsia" w:hAnsiTheme="minorEastAsia" w:eastAsiaTheme="minorEastAsia" w:cstheme="minorEastAsia"/>
          <w:b/>
          <w:bCs/>
          <w:sz w:val="28"/>
          <w:szCs w:val="32"/>
        </w:rPr>
        <w:t>一、基本信息：</w:t>
      </w:r>
    </w:p>
    <w:tbl>
      <w:tblPr>
        <w:tblStyle w:val="16"/>
        <w:tblW w:w="102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6"/>
        <w:gridCol w:w="2287"/>
        <w:gridCol w:w="550"/>
        <w:gridCol w:w="654"/>
        <w:gridCol w:w="1012"/>
        <w:gridCol w:w="1417"/>
        <w:gridCol w:w="2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2286" w:type="dxa"/>
            <w:vAlign w:val="center"/>
          </w:tcPr>
          <w:p>
            <w:pPr>
              <w:ind w:right="-63" w:rightChars="-30"/>
              <w:jc w:val="center"/>
              <w:rPr>
                <w:rFonts w:ascii="宋体" w:hAnsi="宋体" w:cs="宋体"/>
                <w:b/>
                <w:sz w:val="18"/>
                <w:szCs w:val="18"/>
              </w:rPr>
            </w:pPr>
            <w:r>
              <w:rPr>
                <w:rFonts w:hint="eastAsia" w:ascii="宋体" w:hAnsi="宋体" w:cs="宋体"/>
                <w:b/>
                <w:sz w:val="18"/>
                <w:szCs w:val="18"/>
              </w:rPr>
              <w:t>名称</w:t>
            </w:r>
          </w:p>
        </w:tc>
        <w:tc>
          <w:tcPr>
            <w:tcW w:w="2287" w:type="dxa"/>
            <w:vAlign w:val="center"/>
          </w:tcPr>
          <w:p>
            <w:pPr>
              <w:jc w:val="center"/>
              <w:rPr>
                <w:rFonts w:ascii="宋体" w:hAnsi="宋体" w:cs="宋体"/>
                <w:b/>
                <w:sz w:val="18"/>
                <w:szCs w:val="18"/>
              </w:rPr>
            </w:pPr>
            <w:r>
              <w:rPr>
                <w:rFonts w:hint="eastAsia" w:ascii="宋体" w:hAnsi="宋体" w:cs="宋体"/>
                <w:b/>
                <w:sz w:val="18"/>
                <w:szCs w:val="18"/>
              </w:rPr>
              <w:t>规格型号</w:t>
            </w:r>
          </w:p>
        </w:tc>
        <w:tc>
          <w:tcPr>
            <w:tcW w:w="550" w:type="dxa"/>
            <w:vAlign w:val="center"/>
          </w:tcPr>
          <w:p>
            <w:pPr>
              <w:jc w:val="center"/>
              <w:rPr>
                <w:rFonts w:ascii="宋体" w:hAnsi="宋体" w:cs="宋体"/>
                <w:b/>
                <w:sz w:val="18"/>
                <w:szCs w:val="18"/>
              </w:rPr>
            </w:pPr>
            <w:r>
              <w:rPr>
                <w:rFonts w:hint="eastAsia" w:ascii="宋体" w:hAnsi="宋体" w:cs="宋体"/>
                <w:b/>
                <w:sz w:val="18"/>
                <w:szCs w:val="18"/>
              </w:rPr>
              <w:t>单</w:t>
            </w:r>
          </w:p>
          <w:p>
            <w:pPr>
              <w:jc w:val="center"/>
              <w:rPr>
                <w:rFonts w:ascii="宋体" w:hAnsi="宋体" w:cs="宋体"/>
                <w:b/>
                <w:sz w:val="18"/>
                <w:szCs w:val="18"/>
              </w:rPr>
            </w:pPr>
            <w:r>
              <w:rPr>
                <w:rFonts w:hint="eastAsia" w:ascii="宋体" w:hAnsi="宋体" w:cs="宋体"/>
                <w:b/>
                <w:sz w:val="18"/>
                <w:szCs w:val="18"/>
              </w:rPr>
              <w:t>位</w:t>
            </w:r>
          </w:p>
        </w:tc>
        <w:tc>
          <w:tcPr>
            <w:tcW w:w="654" w:type="dxa"/>
            <w:vAlign w:val="center"/>
          </w:tcPr>
          <w:p>
            <w:pPr>
              <w:jc w:val="center"/>
              <w:rPr>
                <w:rFonts w:ascii="宋体" w:hAnsi="宋体" w:cs="宋体"/>
                <w:b/>
                <w:sz w:val="18"/>
                <w:szCs w:val="18"/>
              </w:rPr>
            </w:pPr>
            <w:r>
              <w:rPr>
                <w:rFonts w:hint="eastAsia" w:ascii="宋体" w:hAnsi="宋体" w:cs="宋体"/>
                <w:b/>
                <w:sz w:val="18"/>
                <w:szCs w:val="18"/>
              </w:rPr>
              <w:t>数</w:t>
            </w:r>
          </w:p>
          <w:p>
            <w:pPr>
              <w:jc w:val="center"/>
              <w:rPr>
                <w:rFonts w:ascii="宋体" w:hAnsi="宋体" w:cs="宋体"/>
                <w:b/>
                <w:sz w:val="18"/>
                <w:szCs w:val="18"/>
              </w:rPr>
            </w:pPr>
            <w:r>
              <w:rPr>
                <w:rFonts w:hint="eastAsia" w:ascii="宋体" w:hAnsi="宋体" w:cs="宋体"/>
                <w:b/>
                <w:sz w:val="18"/>
                <w:szCs w:val="18"/>
              </w:rPr>
              <w:t>量</w:t>
            </w:r>
          </w:p>
        </w:tc>
        <w:tc>
          <w:tcPr>
            <w:tcW w:w="1012" w:type="dxa"/>
            <w:vAlign w:val="center"/>
          </w:tcPr>
          <w:p>
            <w:pPr>
              <w:jc w:val="center"/>
              <w:rPr>
                <w:rFonts w:ascii="宋体" w:hAnsi="宋体" w:cs="宋体"/>
                <w:b/>
                <w:sz w:val="18"/>
                <w:szCs w:val="18"/>
              </w:rPr>
            </w:pPr>
            <w:r>
              <w:rPr>
                <w:rFonts w:hint="eastAsia" w:ascii="宋体" w:hAnsi="宋体" w:cs="宋体"/>
                <w:b/>
                <w:sz w:val="18"/>
                <w:szCs w:val="18"/>
              </w:rPr>
              <w:t>资金来源</w:t>
            </w:r>
          </w:p>
        </w:tc>
        <w:tc>
          <w:tcPr>
            <w:tcW w:w="1417" w:type="dxa"/>
            <w:vAlign w:val="center"/>
          </w:tcPr>
          <w:p>
            <w:pPr>
              <w:jc w:val="center"/>
              <w:rPr>
                <w:rFonts w:ascii="宋体" w:hAnsi="宋体" w:cs="宋体"/>
                <w:b/>
                <w:sz w:val="18"/>
                <w:szCs w:val="18"/>
              </w:rPr>
            </w:pPr>
            <w:r>
              <w:rPr>
                <w:rFonts w:hint="eastAsia" w:ascii="宋体" w:hAnsi="宋体" w:cs="宋体"/>
                <w:b/>
                <w:sz w:val="18"/>
                <w:szCs w:val="18"/>
              </w:rPr>
              <w:t>交（提）货</w:t>
            </w:r>
          </w:p>
          <w:p>
            <w:pPr>
              <w:jc w:val="center"/>
              <w:rPr>
                <w:rFonts w:ascii="宋体" w:hAnsi="宋体" w:cs="宋体"/>
                <w:b/>
                <w:sz w:val="18"/>
                <w:szCs w:val="18"/>
              </w:rPr>
            </w:pPr>
            <w:r>
              <w:rPr>
                <w:rFonts w:hint="eastAsia" w:ascii="宋体" w:hAnsi="宋体" w:cs="宋体"/>
                <w:b/>
                <w:sz w:val="18"/>
                <w:szCs w:val="18"/>
              </w:rPr>
              <w:t>时间及地点</w:t>
            </w:r>
          </w:p>
        </w:tc>
        <w:tc>
          <w:tcPr>
            <w:tcW w:w="2075" w:type="dxa"/>
            <w:vAlign w:val="center"/>
          </w:tcPr>
          <w:p>
            <w:pPr>
              <w:jc w:val="center"/>
              <w:rPr>
                <w:rFonts w:ascii="宋体" w:hAnsi="宋体" w:cs="宋体"/>
                <w:b/>
                <w:sz w:val="18"/>
                <w:szCs w:val="18"/>
              </w:rPr>
            </w:pPr>
            <w:r>
              <w:rPr>
                <w:rFonts w:hint="eastAsia" w:ascii="宋体" w:hAnsi="宋体" w:cs="宋体"/>
                <w:b/>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2286" w:type="dxa"/>
            <w:vAlign w:val="center"/>
          </w:tcPr>
          <w:p>
            <w:pPr>
              <w:snapToGrid w:val="0"/>
              <w:jc w:val="center"/>
              <w:rPr>
                <w:rFonts w:ascii="宋体" w:hAnsi="宋体" w:cs="宋体"/>
                <w:b/>
                <w:sz w:val="18"/>
                <w:szCs w:val="18"/>
              </w:rPr>
            </w:pPr>
            <w:r>
              <w:rPr>
                <w:rFonts w:hint="eastAsia" w:ascii="宋体" w:hAnsi="宋体" w:cs="宋体"/>
                <w:b/>
                <w:sz w:val="18"/>
                <w:szCs w:val="18"/>
              </w:rPr>
              <w:t>矿用隔爆型真空智能馈电开关（0.66/1140kV）</w:t>
            </w:r>
          </w:p>
        </w:tc>
        <w:tc>
          <w:tcPr>
            <w:tcW w:w="2287" w:type="dxa"/>
            <w:vAlign w:val="center"/>
          </w:tcPr>
          <w:p>
            <w:pPr>
              <w:snapToGrid w:val="0"/>
              <w:jc w:val="center"/>
              <w:rPr>
                <w:rFonts w:ascii="宋体" w:hAnsi="宋体" w:cs="宋体"/>
                <w:b/>
                <w:sz w:val="18"/>
                <w:szCs w:val="18"/>
              </w:rPr>
            </w:pPr>
            <w:r>
              <w:rPr>
                <w:rFonts w:hint="eastAsia" w:ascii="宋体" w:hAnsi="宋体" w:cs="宋体"/>
                <w:b/>
                <w:sz w:val="18"/>
                <w:szCs w:val="18"/>
              </w:rPr>
              <w:t>KJZ-400A</w:t>
            </w:r>
          </w:p>
        </w:tc>
        <w:tc>
          <w:tcPr>
            <w:tcW w:w="550" w:type="dxa"/>
            <w:vAlign w:val="center"/>
          </w:tcPr>
          <w:p>
            <w:pPr>
              <w:snapToGrid w:val="0"/>
              <w:jc w:val="center"/>
              <w:rPr>
                <w:rFonts w:ascii="宋体" w:hAnsi="宋体" w:cs="宋体"/>
                <w:b/>
                <w:sz w:val="18"/>
                <w:szCs w:val="18"/>
              </w:rPr>
            </w:pPr>
            <w:r>
              <w:rPr>
                <w:rFonts w:hint="eastAsia" w:ascii="宋体" w:hAnsi="宋体" w:cs="宋体"/>
                <w:b/>
                <w:sz w:val="18"/>
                <w:szCs w:val="18"/>
              </w:rPr>
              <w:t>台</w:t>
            </w:r>
          </w:p>
        </w:tc>
        <w:tc>
          <w:tcPr>
            <w:tcW w:w="654" w:type="dxa"/>
            <w:vAlign w:val="center"/>
          </w:tcPr>
          <w:p>
            <w:pPr>
              <w:snapToGrid w:val="0"/>
              <w:jc w:val="center"/>
              <w:rPr>
                <w:rFonts w:ascii="宋体" w:hAnsi="宋体" w:cs="宋体"/>
                <w:b/>
                <w:sz w:val="18"/>
                <w:szCs w:val="18"/>
              </w:rPr>
            </w:pPr>
            <w:r>
              <w:rPr>
                <w:rFonts w:hint="eastAsia" w:ascii="宋体" w:hAnsi="宋体" w:cs="宋体"/>
                <w:b/>
                <w:sz w:val="18"/>
                <w:szCs w:val="18"/>
              </w:rPr>
              <w:t>6</w:t>
            </w:r>
          </w:p>
        </w:tc>
        <w:tc>
          <w:tcPr>
            <w:tcW w:w="1012" w:type="dxa"/>
            <w:vAlign w:val="center"/>
          </w:tcPr>
          <w:p>
            <w:pPr>
              <w:adjustRightInd w:val="0"/>
              <w:snapToGrid w:val="0"/>
              <w:spacing w:line="320" w:lineRule="exact"/>
              <w:jc w:val="center"/>
              <w:rPr>
                <w:rFonts w:ascii="宋体" w:hAnsi="宋体" w:cs="宋体"/>
                <w:b/>
                <w:sz w:val="18"/>
                <w:szCs w:val="18"/>
              </w:rPr>
            </w:pPr>
            <w:r>
              <w:rPr>
                <w:rFonts w:hint="eastAsia" w:ascii="宋体" w:hAnsi="宋体" w:cs="宋体"/>
                <w:b/>
                <w:sz w:val="18"/>
                <w:szCs w:val="18"/>
              </w:rPr>
              <w:t>专项</w:t>
            </w:r>
          </w:p>
        </w:tc>
        <w:tc>
          <w:tcPr>
            <w:tcW w:w="1417" w:type="dxa"/>
            <w:vAlign w:val="center"/>
          </w:tcPr>
          <w:p>
            <w:pPr>
              <w:adjustRightInd w:val="0"/>
              <w:snapToGrid w:val="0"/>
              <w:spacing w:line="320" w:lineRule="exact"/>
              <w:jc w:val="center"/>
              <w:rPr>
                <w:rFonts w:ascii="宋体" w:hAnsi="宋体" w:cs="宋体"/>
                <w:b/>
                <w:sz w:val="18"/>
                <w:szCs w:val="18"/>
              </w:rPr>
            </w:pPr>
            <w:r>
              <w:rPr>
                <w:rFonts w:hint="eastAsia" w:ascii="宋体" w:hAnsi="宋体" w:cs="宋体"/>
                <w:b/>
                <w:sz w:val="18"/>
                <w:szCs w:val="18"/>
              </w:rPr>
              <w:t>大海则煤矿</w:t>
            </w:r>
          </w:p>
        </w:tc>
        <w:tc>
          <w:tcPr>
            <w:tcW w:w="2075" w:type="dxa"/>
            <w:vAlign w:val="center"/>
          </w:tcPr>
          <w:p>
            <w:pPr>
              <w:adjustRightInd w:val="0"/>
              <w:snapToGrid w:val="0"/>
              <w:spacing w:line="320" w:lineRule="exact"/>
              <w:jc w:val="center"/>
              <w:rPr>
                <w:rFonts w:ascii="宋体" w:hAnsi="宋体" w:cs="宋体"/>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2286" w:type="dxa"/>
            <w:vAlign w:val="center"/>
          </w:tcPr>
          <w:p>
            <w:pPr>
              <w:snapToGrid w:val="0"/>
              <w:jc w:val="center"/>
              <w:rPr>
                <w:rFonts w:ascii="宋体" w:hAnsi="宋体" w:cs="宋体"/>
                <w:b/>
                <w:sz w:val="18"/>
                <w:szCs w:val="18"/>
              </w:rPr>
            </w:pPr>
            <w:r>
              <w:rPr>
                <w:rFonts w:hint="eastAsia" w:ascii="宋体" w:hAnsi="宋体" w:cs="宋体"/>
                <w:b/>
                <w:sz w:val="18"/>
                <w:szCs w:val="18"/>
              </w:rPr>
              <w:t>变频式智能局部通风机</w:t>
            </w:r>
          </w:p>
        </w:tc>
        <w:tc>
          <w:tcPr>
            <w:tcW w:w="2287" w:type="dxa"/>
            <w:vAlign w:val="center"/>
          </w:tcPr>
          <w:p>
            <w:pPr>
              <w:snapToGrid w:val="0"/>
              <w:jc w:val="center"/>
              <w:rPr>
                <w:rFonts w:ascii="宋体" w:hAnsi="宋体" w:cs="宋体"/>
                <w:b/>
                <w:sz w:val="18"/>
                <w:szCs w:val="18"/>
              </w:rPr>
            </w:pPr>
            <w:r>
              <w:rPr>
                <w:rFonts w:hint="eastAsia" w:ascii="宋体" w:hAnsi="宋体" w:cs="宋体"/>
                <w:b/>
                <w:sz w:val="18"/>
                <w:szCs w:val="18"/>
              </w:rPr>
              <w:t>FBDNO7.1  功率2*37kw</w:t>
            </w:r>
          </w:p>
        </w:tc>
        <w:tc>
          <w:tcPr>
            <w:tcW w:w="550" w:type="dxa"/>
            <w:vAlign w:val="center"/>
          </w:tcPr>
          <w:p>
            <w:pPr>
              <w:snapToGrid w:val="0"/>
              <w:jc w:val="center"/>
              <w:rPr>
                <w:rFonts w:ascii="宋体" w:hAnsi="宋体" w:cs="宋体"/>
                <w:b/>
                <w:sz w:val="18"/>
                <w:szCs w:val="18"/>
              </w:rPr>
            </w:pPr>
            <w:r>
              <w:rPr>
                <w:rFonts w:hint="eastAsia" w:ascii="宋体" w:hAnsi="宋体" w:cs="宋体"/>
                <w:b/>
                <w:sz w:val="18"/>
                <w:szCs w:val="18"/>
              </w:rPr>
              <w:t>台</w:t>
            </w:r>
          </w:p>
        </w:tc>
        <w:tc>
          <w:tcPr>
            <w:tcW w:w="654" w:type="dxa"/>
            <w:vAlign w:val="center"/>
          </w:tcPr>
          <w:p>
            <w:pPr>
              <w:snapToGrid w:val="0"/>
              <w:jc w:val="center"/>
              <w:rPr>
                <w:rFonts w:ascii="宋体" w:hAnsi="宋体" w:cs="宋体"/>
                <w:b/>
                <w:sz w:val="18"/>
                <w:szCs w:val="18"/>
              </w:rPr>
            </w:pPr>
            <w:r>
              <w:rPr>
                <w:rFonts w:hint="eastAsia" w:ascii="宋体" w:hAnsi="宋体" w:cs="宋体"/>
                <w:b/>
                <w:sz w:val="18"/>
                <w:szCs w:val="18"/>
              </w:rPr>
              <w:t>6</w:t>
            </w:r>
          </w:p>
        </w:tc>
        <w:tc>
          <w:tcPr>
            <w:tcW w:w="1012" w:type="dxa"/>
            <w:vAlign w:val="center"/>
          </w:tcPr>
          <w:p>
            <w:pPr>
              <w:adjustRightInd w:val="0"/>
              <w:snapToGrid w:val="0"/>
              <w:spacing w:line="320" w:lineRule="exact"/>
              <w:jc w:val="center"/>
              <w:rPr>
                <w:rFonts w:ascii="宋体" w:hAnsi="宋体" w:cs="宋体"/>
                <w:b/>
                <w:sz w:val="18"/>
                <w:szCs w:val="18"/>
              </w:rPr>
            </w:pPr>
            <w:r>
              <w:rPr>
                <w:rFonts w:hint="eastAsia" w:ascii="宋体" w:hAnsi="宋体" w:cs="宋体"/>
                <w:b/>
                <w:sz w:val="18"/>
                <w:szCs w:val="18"/>
              </w:rPr>
              <w:t>专项</w:t>
            </w:r>
          </w:p>
        </w:tc>
        <w:tc>
          <w:tcPr>
            <w:tcW w:w="1417" w:type="dxa"/>
            <w:vAlign w:val="center"/>
          </w:tcPr>
          <w:p>
            <w:pPr>
              <w:adjustRightInd w:val="0"/>
              <w:snapToGrid w:val="0"/>
              <w:spacing w:line="320" w:lineRule="exact"/>
              <w:jc w:val="center"/>
              <w:rPr>
                <w:rFonts w:ascii="宋体" w:hAnsi="宋体" w:cs="宋体"/>
                <w:b/>
                <w:sz w:val="18"/>
                <w:szCs w:val="18"/>
              </w:rPr>
            </w:pPr>
            <w:r>
              <w:rPr>
                <w:rFonts w:hint="eastAsia" w:ascii="宋体" w:hAnsi="宋体" w:cs="宋体"/>
                <w:b/>
                <w:sz w:val="18"/>
                <w:szCs w:val="18"/>
              </w:rPr>
              <w:t>大海则煤矿</w:t>
            </w:r>
          </w:p>
        </w:tc>
        <w:tc>
          <w:tcPr>
            <w:tcW w:w="2075" w:type="dxa"/>
            <w:vAlign w:val="center"/>
          </w:tcPr>
          <w:p>
            <w:pPr>
              <w:adjustRightInd w:val="0"/>
              <w:snapToGrid w:val="0"/>
              <w:spacing w:line="320" w:lineRule="exact"/>
              <w:jc w:val="center"/>
              <w:rPr>
                <w:rFonts w:ascii="宋体" w:hAnsi="宋体" w:cs="宋体"/>
                <w:b/>
                <w:sz w:val="18"/>
                <w:szCs w:val="18"/>
              </w:rPr>
            </w:pPr>
            <w:r>
              <w:rPr>
                <w:rFonts w:ascii="宋体" w:hAnsi="宋体" w:cs="宋体"/>
                <w:b/>
                <w:sz w:val="18"/>
                <w:szCs w:val="18"/>
              </w:rPr>
              <w:t>带</w:t>
            </w:r>
            <w:r>
              <w:rPr>
                <w:rFonts w:hint="eastAsia" w:ascii="宋体" w:hAnsi="宋体" w:cs="宋体"/>
                <w:b/>
                <w:sz w:val="18"/>
                <w:szCs w:val="18"/>
              </w:rPr>
              <w:t>分风装置、支架、配套风筒3000米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2286" w:type="dxa"/>
            <w:vAlign w:val="center"/>
          </w:tcPr>
          <w:p>
            <w:pPr>
              <w:snapToGrid w:val="0"/>
              <w:jc w:val="center"/>
              <w:rPr>
                <w:rFonts w:ascii="宋体" w:hAnsi="宋体" w:cs="宋体"/>
                <w:b/>
                <w:sz w:val="18"/>
                <w:szCs w:val="18"/>
              </w:rPr>
            </w:pPr>
            <w:r>
              <w:rPr>
                <w:rFonts w:hint="eastAsia" w:ascii="宋体" w:hAnsi="宋体" w:cs="宋体"/>
                <w:b/>
                <w:sz w:val="18"/>
                <w:szCs w:val="18"/>
              </w:rPr>
              <w:t>通风机用隔爆兼本质安全双电源</w:t>
            </w:r>
            <w:r>
              <w:rPr>
                <w:rFonts w:ascii="宋体" w:hAnsi="宋体" w:cs="宋体"/>
                <w:b/>
                <w:sz w:val="18"/>
                <w:szCs w:val="18"/>
              </w:rPr>
              <w:t>双变频调速器</w:t>
            </w:r>
          </w:p>
        </w:tc>
        <w:tc>
          <w:tcPr>
            <w:tcW w:w="2287" w:type="dxa"/>
            <w:vAlign w:val="center"/>
          </w:tcPr>
          <w:p>
            <w:pPr>
              <w:snapToGrid w:val="0"/>
              <w:jc w:val="center"/>
              <w:rPr>
                <w:rFonts w:ascii="宋体" w:hAnsi="宋体" w:cs="宋体"/>
                <w:b/>
                <w:sz w:val="18"/>
                <w:szCs w:val="18"/>
              </w:rPr>
            </w:pPr>
            <w:r>
              <w:rPr>
                <w:rFonts w:hint="eastAsia" w:ascii="宋体" w:hAnsi="宋体" w:cs="宋体"/>
                <w:b/>
                <w:sz w:val="18"/>
                <w:szCs w:val="18"/>
              </w:rPr>
              <w:t>BPJ1-110/1140SF</w:t>
            </w:r>
          </w:p>
        </w:tc>
        <w:tc>
          <w:tcPr>
            <w:tcW w:w="550" w:type="dxa"/>
            <w:vAlign w:val="center"/>
          </w:tcPr>
          <w:p>
            <w:pPr>
              <w:snapToGrid w:val="0"/>
              <w:jc w:val="center"/>
              <w:rPr>
                <w:rFonts w:ascii="宋体" w:hAnsi="宋体" w:cs="宋体"/>
                <w:b/>
                <w:sz w:val="18"/>
                <w:szCs w:val="18"/>
              </w:rPr>
            </w:pPr>
            <w:r>
              <w:rPr>
                <w:rFonts w:hint="eastAsia" w:ascii="宋体" w:hAnsi="宋体" w:cs="宋体"/>
                <w:b/>
                <w:sz w:val="18"/>
                <w:szCs w:val="18"/>
              </w:rPr>
              <w:t>台</w:t>
            </w:r>
          </w:p>
        </w:tc>
        <w:tc>
          <w:tcPr>
            <w:tcW w:w="654" w:type="dxa"/>
            <w:vAlign w:val="center"/>
          </w:tcPr>
          <w:p>
            <w:pPr>
              <w:snapToGrid w:val="0"/>
              <w:jc w:val="center"/>
              <w:rPr>
                <w:rFonts w:ascii="宋体" w:hAnsi="宋体" w:cs="宋体"/>
                <w:b/>
                <w:sz w:val="18"/>
                <w:szCs w:val="18"/>
              </w:rPr>
            </w:pPr>
            <w:r>
              <w:rPr>
                <w:rFonts w:hint="eastAsia" w:ascii="宋体" w:hAnsi="宋体" w:cs="宋体"/>
                <w:b/>
                <w:sz w:val="18"/>
                <w:szCs w:val="18"/>
              </w:rPr>
              <w:t>3</w:t>
            </w:r>
          </w:p>
        </w:tc>
        <w:tc>
          <w:tcPr>
            <w:tcW w:w="1012" w:type="dxa"/>
            <w:vAlign w:val="center"/>
          </w:tcPr>
          <w:p>
            <w:pPr>
              <w:adjustRightInd w:val="0"/>
              <w:snapToGrid w:val="0"/>
              <w:spacing w:line="320" w:lineRule="exact"/>
              <w:jc w:val="center"/>
              <w:rPr>
                <w:rFonts w:ascii="宋体" w:hAnsi="宋体" w:cs="宋体"/>
                <w:b/>
                <w:sz w:val="18"/>
                <w:szCs w:val="18"/>
              </w:rPr>
            </w:pPr>
            <w:r>
              <w:rPr>
                <w:rFonts w:hint="eastAsia" w:ascii="宋体" w:hAnsi="宋体" w:cs="宋体"/>
                <w:b/>
                <w:sz w:val="18"/>
                <w:szCs w:val="18"/>
              </w:rPr>
              <w:t>专项</w:t>
            </w:r>
          </w:p>
        </w:tc>
        <w:tc>
          <w:tcPr>
            <w:tcW w:w="1417" w:type="dxa"/>
            <w:vAlign w:val="center"/>
          </w:tcPr>
          <w:p>
            <w:pPr>
              <w:adjustRightInd w:val="0"/>
              <w:snapToGrid w:val="0"/>
              <w:spacing w:line="320" w:lineRule="exact"/>
              <w:jc w:val="center"/>
              <w:rPr>
                <w:rFonts w:ascii="宋体" w:hAnsi="宋体" w:cs="宋体"/>
                <w:b/>
                <w:sz w:val="18"/>
                <w:szCs w:val="18"/>
              </w:rPr>
            </w:pPr>
            <w:r>
              <w:rPr>
                <w:rFonts w:hint="eastAsia" w:ascii="宋体" w:hAnsi="宋体" w:cs="宋体"/>
                <w:b/>
                <w:sz w:val="18"/>
                <w:szCs w:val="18"/>
              </w:rPr>
              <w:t>大海则煤矿</w:t>
            </w:r>
          </w:p>
        </w:tc>
        <w:tc>
          <w:tcPr>
            <w:tcW w:w="2075" w:type="dxa"/>
            <w:vAlign w:val="center"/>
          </w:tcPr>
          <w:p>
            <w:pPr>
              <w:adjustRightInd w:val="0"/>
              <w:snapToGrid w:val="0"/>
              <w:spacing w:line="320" w:lineRule="exact"/>
              <w:jc w:val="center"/>
              <w:rPr>
                <w:rFonts w:ascii="宋体" w:hAnsi="宋体" w:cs="宋体"/>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2286" w:type="dxa"/>
            <w:vAlign w:val="center"/>
          </w:tcPr>
          <w:p>
            <w:pPr>
              <w:snapToGrid w:val="0"/>
              <w:jc w:val="center"/>
              <w:rPr>
                <w:rFonts w:ascii="宋体" w:hAnsi="宋体" w:cs="宋体"/>
                <w:b/>
                <w:sz w:val="18"/>
                <w:szCs w:val="18"/>
              </w:rPr>
            </w:pPr>
            <w:r>
              <w:rPr>
                <w:rFonts w:hint="eastAsia" w:ascii="宋体" w:hAnsi="宋体" w:cs="宋体"/>
                <w:b/>
                <w:sz w:val="18"/>
                <w:szCs w:val="18"/>
              </w:rPr>
              <w:t>低压电缆</w:t>
            </w:r>
          </w:p>
        </w:tc>
        <w:tc>
          <w:tcPr>
            <w:tcW w:w="2287" w:type="dxa"/>
            <w:vAlign w:val="center"/>
          </w:tcPr>
          <w:p>
            <w:pPr>
              <w:snapToGrid w:val="0"/>
              <w:jc w:val="center"/>
              <w:rPr>
                <w:rFonts w:ascii="宋体" w:hAnsi="宋体" w:cs="宋体"/>
                <w:b/>
                <w:sz w:val="18"/>
                <w:szCs w:val="18"/>
              </w:rPr>
            </w:pPr>
            <w:r>
              <w:rPr>
                <w:rFonts w:hint="eastAsia" w:ascii="宋体" w:hAnsi="宋体" w:cs="宋体"/>
                <w:b/>
                <w:sz w:val="18"/>
                <w:szCs w:val="18"/>
              </w:rPr>
              <w:t>MYP660/</w:t>
            </w:r>
            <w:r>
              <w:rPr>
                <w:rFonts w:ascii="宋体" w:hAnsi="宋体" w:cs="宋体"/>
                <w:b/>
                <w:sz w:val="18"/>
                <w:szCs w:val="18"/>
              </w:rPr>
              <w:t>114</w:t>
            </w:r>
            <w:r>
              <w:rPr>
                <w:rFonts w:hint="eastAsia" w:ascii="宋体" w:hAnsi="宋体" w:cs="宋体"/>
                <w:b/>
                <w:sz w:val="18"/>
                <w:szCs w:val="18"/>
              </w:rPr>
              <w:t>0 3*25+1*10</w:t>
            </w:r>
          </w:p>
        </w:tc>
        <w:tc>
          <w:tcPr>
            <w:tcW w:w="550" w:type="dxa"/>
            <w:vAlign w:val="center"/>
          </w:tcPr>
          <w:p>
            <w:pPr>
              <w:snapToGrid w:val="0"/>
              <w:jc w:val="center"/>
              <w:rPr>
                <w:rFonts w:ascii="宋体" w:hAnsi="宋体" w:cs="宋体"/>
                <w:b/>
                <w:sz w:val="18"/>
                <w:szCs w:val="18"/>
              </w:rPr>
            </w:pPr>
            <w:r>
              <w:rPr>
                <w:rFonts w:hint="eastAsia" w:ascii="宋体" w:hAnsi="宋体" w:cs="宋体"/>
                <w:b/>
                <w:sz w:val="18"/>
                <w:szCs w:val="18"/>
              </w:rPr>
              <w:t>米</w:t>
            </w:r>
          </w:p>
        </w:tc>
        <w:tc>
          <w:tcPr>
            <w:tcW w:w="654" w:type="dxa"/>
            <w:vAlign w:val="center"/>
          </w:tcPr>
          <w:p>
            <w:pPr>
              <w:snapToGrid w:val="0"/>
              <w:jc w:val="center"/>
              <w:rPr>
                <w:rFonts w:ascii="宋体" w:hAnsi="宋体" w:cs="宋体"/>
                <w:b/>
                <w:sz w:val="18"/>
                <w:szCs w:val="18"/>
              </w:rPr>
            </w:pPr>
            <w:r>
              <w:rPr>
                <w:rFonts w:hint="eastAsia" w:ascii="宋体" w:hAnsi="宋体" w:cs="宋体"/>
                <w:b/>
                <w:sz w:val="18"/>
                <w:szCs w:val="18"/>
              </w:rPr>
              <w:t>1500</w:t>
            </w:r>
          </w:p>
        </w:tc>
        <w:tc>
          <w:tcPr>
            <w:tcW w:w="1012" w:type="dxa"/>
            <w:vAlign w:val="center"/>
          </w:tcPr>
          <w:p>
            <w:pPr>
              <w:adjustRightInd w:val="0"/>
              <w:snapToGrid w:val="0"/>
              <w:spacing w:line="320" w:lineRule="exact"/>
              <w:jc w:val="center"/>
              <w:rPr>
                <w:rFonts w:ascii="宋体" w:hAnsi="宋体" w:cs="宋体"/>
                <w:b/>
                <w:sz w:val="18"/>
                <w:szCs w:val="18"/>
              </w:rPr>
            </w:pPr>
            <w:r>
              <w:rPr>
                <w:rFonts w:hint="eastAsia" w:ascii="宋体" w:hAnsi="宋体" w:cs="宋体"/>
                <w:b/>
                <w:sz w:val="18"/>
                <w:szCs w:val="18"/>
              </w:rPr>
              <w:t>专项</w:t>
            </w:r>
          </w:p>
        </w:tc>
        <w:tc>
          <w:tcPr>
            <w:tcW w:w="1417" w:type="dxa"/>
            <w:vAlign w:val="center"/>
          </w:tcPr>
          <w:p>
            <w:pPr>
              <w:adjustRightInd w:val="0"/>
              <w:snapToGrid w:val="0"/>
              <w:spacing w:line="320" w:lineRule="exact"/>
              <w:jc w:val="center"/>
              <w:rPr>
                <w:rFonts w:ascii="宋体" w:hAnsi="宋体" w:cs="宋体"/>
                <w:b/>
                <w:sz w:val="18"/>
                <w:szCs w:val="18"/>
              </w:rPr>
            </w:pPr>
            <w:r>
              <w:rPr>
                <w:rFonts w:hint="eastAsia" w:ascii="宋体" w:hAnsi="宋体" w:cs="宋体"/>
                <w:b/>
                <w:sz w:val="18"/>
                <w:szCs w:val="18"/>
              </w:rPr>
              <w:t>大海则煤矿</w:t>
            </w:r>
          </w:p>
        </w:tc>
        <w:tc>
          <w:tcPr>
            <w:tcW w:w="2075" w:type="dxa"/>
            <w:vAlign w:val="center"/>
          </w:tcPr>
          <w:p>
            <w:pPr>
              <w:adjustRightInd w:val="0"/>
              <w:snapToGrid w:val="0"/>
              <w:spacing w:line="320" w:lineRule="exact"/>
              <w:jc w:val="center"/>
              <w:rPr>
                <w:rFonts w:ascii="宋体" w:hAnsi="宋体" w:cs="宋体"/>
                <w:b/>
                <w:sz w:val="18"/>
                <w:szCs w:val="18"/>
              </w:rPr>
            </w:pPr>
          </w:p>
        </w:tc>
      </w:tr>
    </w:tbl>
    <w:p>
      <w:pPr>
        <w:rPr>
          <w:rFonts w:asciiTheme="minorEastAsia" w:hAnsiTheme="minorEastAsia" w:eastAsiaTheme="minorEastAsia" w:cstheme="minorEastAsia"/>
          <w:vanish/>
          <w:sz w:val="20"/>
        </w:rPr>
      </w:pPr>
    </w:p>
    <w:p>
      <w:pPr>
        <w:numPr>
          <w:ilvl w:val="0"/>
          <w:numId w:val="1"/>
        </w:numPr>
        <w:ind w:firstLine="643"/>
        <w:rPr>
          <w:rFonts w:asciiTheme="minorEastAsia" w:hAnsiTheme="minorEastAsia" w:eastAsiaTheme="minorEastAsia" w:cstheme="minorEastAsia"/>
          <w:b/>
          <w:bCs/>
          <w:sz w:val="28"/>
          <w:szCs w:val="32"/>
        </w:rPr>
      </w:pPr>
      <w:r>
        <w:rPr>
          <w:rFonts w:hint="eastAsia" w:asciiTheme="minorEastAsia" w:hAnsiTheme="minorEastAsia" w:eastAsiaTheme="minorEastAsia" w:cstheme="minorEastAsia"/>
          <w:b/>
          <w:bCs/>
          <w:sz w:val="28"/>
          <w:szCs w:val="32"/>
        </w:rPr>
        <w:t>基本参数：</w:t>
      </w:r>
    </w:p>
    <w:p>
      <w:pPr>
        <w:snapToGrid w:val="0"/>
        <w:spacing w:line="360" w:lineRule="auto"/>
        <w:ind w:left="420" w:leftChars="200"/>
        <w:rPr>
          <w:b/>
          <w:bCs/>
          <w:snapToGrid w:val="0"/>
          <w:kern w:val="0"/>
          <w:sz w:val="28"/>
        </w:rPr>
      </w:pPr>
      <w:r>
        <w:rPr>
          <w:rFonts w:hint="eastAsia"/>
          <w:b/>
          <w:bCs/>
          <w:snapToGrid w:val="0"/>
          <w:kern w:val="0"/>
          <w:sz w:val="28"/>
        </w:rPr>
        <w:t>2.1 KJZ-400A矿用隔爆型真空智能型馈电开关</w:t>
      </w:r>
    </w:p>
    <w:p>
      <w:pPr>
        <w:widowControl/>
        <w:spacing w:line="360" w:lineRule="auto"/>
        <w:ind w:firstLine="560" w:firstLineChars="200"/>
        <w:jc w:val="left"/>
        <w:rPr>
          <w:snapToGrid w:val="0"/>
          <w:kern w:val="0"/>
          <w:sz w:val="28"/>
        </w:rPr>
      </w:pPr>
      <w:r>
        <w:rPr>
          <w:rFonts w:hint="eastAsia"/>
          <w:snapToGrid w:val="0"/>
          <w:kern w:val="0"/>
          <w:sz w:val="28"/>
        </w:rPr>
        <w:t>2.1.1保护装置要求：</w:t>
      </w:r>
    </w:p>
    <w:p>
      <w:pPr>
        <w:widowControl/>
        <w:spacing w:line="360" w:lineRule="auto"/>
        <w:ind w:firstLine="560" w:firstLineChars="200"/>
        <w:jc w:val="left"/>
        <w:rPr>
          <w:snapToGrid w:val="0"/>
          <w:kern w:val="0"/>
          <w:sz w:val="28"/>
        </w:rPr>
      </w:pPr>
      <w:r>
        <w:rPr>
          <w:rFonts w:hint="eastAsia"/>
          <w:snapToGrid w:val="0"/>
          <w:kern w:val="0"/>
          <w:sz w:val="28"/>
        </w:rPr>
        <w:t>1）馈电开关具有合、分闸、故障指示，千欧表绝缘阻值显示，过载、短路倍数均可整定，实现就地、远方等方式整定，过载整定电流由软件浮动设定，在从零到开关允许最大值范围内，以 1A 为单位任意设定；</w:t>
      </w:r>
    </w:p>
    <w:p>
      <w:pPr>
        <w:widowControl/>
        <w:spacing w:line="360" w:lineRule="auto"/>
        <w:ind w:firstLine="560" w:firstLineChars="200"/>
        <w:jc w:val="left"/>
        <w:rPr>
          <w:snapToGrid w:val="0"/>
          <w:kern w:val="0"/>
          <w:sz w:val="28"/>
        </w:rPr>
      </w:pPr>
      <w:r>
        <w:rPr>
          <w:rFonts w:hint="eastAsia"/>
          <w:snapToGrid w:val="0"/>
          <w:kern w:val="0"/>
          <w:sz w:val="28"/>
        </w:rPr>
        <w:t>2）开关具有短路、过载、漏电闭锁、三相对称性漏电保护、选择性漏电保护、分支开关漏电保护的后备保护等保护功能;具有风电瓦斯电闭锁功能，远方分闸功能；</w:t>
      </w:r>
    </w:p>
    <w:p>
      <w:pPr>
        <w:widowControl/>
        <w:spacing w:line="360" w:lineRule="auto"/>
        <w:ind w:firstLine="560" w:firstLineChars="200"/>
        <w:jc w:val="left"/>
        <w:rPr>
          <w:snapToGrid w:val="0"/>
          <w:kern w:val="0"/>
          <w:sz w:val="28"/>
        </w:rPr>
      </w:pPr>
      <w:r>
        <w:rPr>
          <w:rFonts w:hint="eastAsia" w:ascii="黑体" w:hAnsi="宋体" w:eastAsia="黑体" w:cs="黑体"/>
          <w:color w:val="000000"/>
          <w:kern w:val="0"/>
          <w:sz w:val="28"/>
        </w:rPr>
        <w:t>3）</w:t>
      </w:r>
      <w:r>
        <w:rPr>
          <w:rFonts w:hint="eastAsia"/>
          <w:snapToGrid w:val="0"/>
          <w:kern w:val="0"/>
          <w:sz w:val="28"/>
        </w:rPr>
        <w:t>保护器具有远方速断测试、漏电测试、远方分离测试等多项遥控测试的功能；</w:t>
      </w:r>
    </w:p>
    <w:p>
      <w:pPr>
        <w:snapToGrid w:val="0"/>
        <w:spacing w:line="360" w:lineRule="auto"/>
        <w:ind w:firstLine="560" w:firstLineChars="200"/>
        <w:rPr>
          <w:snapToGrid w:val="0"/>
          <w:kern w:val="0"/>
          <w:sz w:val="28"/>
        </w:rPr>
      </w:pPr>
      <w:r>
        <w:rPr>
          <w:rFonts w:hint="eastAsia"/>
          <w:snapToGrid w:val="0"/>
          <w:kern w:val="0"/>
          <w:sz w:val="28"/>
        </w:rPr>
        <w:t>4）不停电实现对隔爆型真空配电装置的各种操作及定值整定（就地及远方）,过载整定电流由软件浮动设定，在从零到开关允许最大值范围内，以1A 为单位任意设定；</w:t>
      </w:r>
    </w:p>
    <w:p>
      <w:pPr>
        <w:widowControl/>
        <w:spacing w:line="360" w:lineRule="auto"/>
        <w:ind w:firstLine="560" w:firstLineChars="200"/>
        <w:jc w:val="left"/>
        <w:rPr>
          <w:snapToGrid w:val="0"/>
          <w:kern w:val="0"/>
          <w:sz w:val="28"/>
        </w:rPr>
      </w:pPr>
      <w:r>
        <w:rPr>
          <w:rFonts w:hint="eastAsia"/>
          <w:snapToGrid w:val="0"/>
          <w:kern w:val="0"/>
          <w:sz w:val="28"/>
        </w:rPr>
        <w:t>5）配标准RS485通讯接口，实现遥测、遥控、遥信、遥调等四项遥控功能，达到供电设备自动化。</w:t>
      </w:r>
    </w:p>
    <w:p>
      <w:pPr>
        <w:snapToGrid w:val="0"/>
        <w:spacing w:line="360" w:lineRule="auto"/>
        <w:ind w:left="420" w:leftChars="200"/>
        <w:rPr>
          <w:snapToGrid w:val="0"/>
          <w:kern w:val="0"/>
          <w:sz w:val="28"/>
        </w:rPr>
      </w:pPr>
      <w:r>
        <w:rPr>
          <w:rFonts w:hint="eastAsia"/>
          <w:snapToGrid w:val="0"/>
          <w:kern w:val="0"/>
          <w:sz w:val="28"/>
        </w:rPr>
        <w:t xml:space="preserve">6）设备支持工况在线监测和故障诊断实施功能。 </w:t>
      </w:r>
    </w:p>
    <w:p>
      <w:pPr>
        <w:snapToGrid w:val="0"/>
        <w:spacing w:line="360" w:lineRule="auto"/>
        <w:ind w:left="420" w:leftChars="200"/>
        <w:rPr>
          <w:snapToGrid w:val="0"/>
          <w:kern w:val="0"/>
          <w:sz w:val="28"/>
        </w:rPr>
      </w:pPr>
      <w:r>
        <w:rPr>
          <w:rFonts w:hint="eastAsia"/>
          <w:snapToGrid w:val="0"/>
          <w:kern w:val="0"/>
          <w:sz w:val="28"/>
        </w:rPr>
        <w:t xml:space="preserve">7）设备支持远程控制功能。 </w:t>
      </w:r>
    </w:p>
    <w:p>
      <w:pPr>
        <w:snapToGrid w:val="0"/>
        <w:spacing w:line="360" w:lineRule="auto"/>
        <w:ind w:left="420" w:leftChars="200"/>
        <w:rPr>
          <w:sz w:val="22"/>
        </w:rPr>
      </w:pPr>
      <w:r>
        <w:rPr>
          <w:rFonts w:hint="eastAsia"/>
          <w:snapToGrid w:val="0"/>
          <w:kern w:val="0"/>
          <w:sz w:val="28"/>
        </w:rPr>
        <w:t>8）操作方式：</w:t>
      </w:r>
      <w:r>
        <w:rPr>
          <w:rFonts w:hint="eastAsia" w:ascii="宋体" w:hAnsi="宋体" w:cs="宋体"/>
          <w:kern w:val="0"/>
          <w:sz w:val="28"/>
        </w:rPr>
        <w:t>电动合闸、永磁机构保持、电动分闸和手动分闸。</w:t>
      </w:r>
    </w:p>
    <w:p>
      <w:pPr>
        <w:snapToGrid w:val="0"/>
        <w:spacing w:line="360" w:lineRule="auto"/>
        <w:ind w:left="420" w:leftChars="200"/>
        <w:rPr>
          <w:snapToGrid w:val="0"/>
          <w:kern w:val="0"/>
          <w:sz w:val="28"/>
        </w:rPr>
      </w:pPr>
      <w:r>
        <w:rPr>
          <w:rFonts w:hint="eastAsia"/>
          <w:snapToGrid w:val="0"/>
          <w:kern w:val="0"/>
          <w:sz w:val="28"/>
        </w:rPr>
        <w:t xml:space="preserve">9）为了满足智能化矿山建设，需免费提供支持集成的通讯接口。 </w:t>
      </w:r>
    </w:p>
    <w:p>
      <w:pPr>
        <w:snapToGrid w:val="0"/>
        <w:spacing w:line="360" w:lineRule="auto"/>
        <w:ind w:left="420" w:leftChars="200"/>
        <w:rPr>
          <w:snapToGrid w:val="0"/>
          <w:kern w:val="0"/>
          <w:sz w:val="28"/>
        </w:rPr>
      </w:pPr>
      <w:r>
        <w:rPr>
          <w:rFonts w:hint="eastAsia"/>
          <w:snapToGrid w:val="0"/>
          <w:kern w:val="0"/>
          <w:sz w:val="28"/>
        </w:rPr>
        <w:t>2.1.2额定电压：660 /1140 V。</w:t>
      </w:r>
    </w:p>
    <w:p>
      <w:pPr>
        <w:snapToGrid w:val="0"/>
        <w:spacing w:line="360" w:lineRule="auto"/>
        <w:ind w:left="420" w:leftChars="200"/>
        <w:rPr>
          <w:snapToGrid w:val="0"/>
          <w:kern w:val="0"/>
          <w:sz w:val="28"/>
        </w:rPr>
      </w:pPr>
      <w:r>
        <w:rPr>
          <w:rFonts w:hint="eastAsia"/>
          <w:snapToGrid w:val="0"/>
          <w:kern w:val="0"/>
          <w:sz w:val="28"/>
        </w:rPr>
        <w:t>2.1.3额定电流：400A。</w:t>
      </w:r>
    </w:p>
    <w:p>
      <w:pPr>
        <w:snapToGrid w:val="0"/>
        <w:spacing w:line="360" w:lineRule="auto"/>
        <w:ind w:left="420" w:leftChars="200"/>
        <w:rPr>
          <w:snapToGrid w:val="0"/>
          <w:kern w:val="0"/>
          <w:sz w:val="28"/>
        </w:rPr>
      </w:pPr>
      <w:r>
        <w:rPr>
          <w:rFonts w:hint="eastAsia"/>
          <w:snapToGrid w:val="0"/>
          <w:kern w:val="0"/>
          <w:sz w:val="28"/>
        </w:rPr>
        <w:t>2.1.4断路器的极限分断能力：9000A。</w:t>
      </w:r>
    </w:p>
    <w:p>
      <w:pPr>
        <w:snapToGrid w:val="0"/>
        <w:spacing w:line="360" w:lineRule="auto"/>
        <w:ind w:left="420" w:leftChars="200"/>
        <w:rPr>
          <w:snapToGrid w:val="0"/>
          <w:kern w:val="0"/>
          <w:sz w:val="28"/>
        </w:rPr>
      </w:pPr>
      <w:r>
        <w:rPr>
          <w:rFonts w:hint="eastAsia"/>
          <w:snapToGrid w:val="0"/>
          <w:kern w:val="0"/>
          <w:sz w:val="28"/>
        </w:rPr>
        <w:t>2.1.5断路器分断时间：不大于30ms。</w:t>
      </w:r>
    </w:p>
    <w:p>
      <w:pPr>
        <w:snapToGrid w:val="0"/>
        <w:spacing w:line="360" w:lineRule="auto"/>
        <w:ind w:left="420" w:leftChars="200"/>
        <w:rPr>
          <w:snapToGrid w:val="0"/>
          <w:kern w:val="0"/>
          <w:sz w:val="28"/>
        </w:rPr>
      </w:pPr>
      <w:r>
        <w:rPr>
          <w:rFonts w:hint="eastAsia"/>
          <w:snapToGrid w:val="0"/>
          <w:kern w:val="0"/>
          <w:sz w:val="28"/>
        </w:rPr>
        <w:t>2.1.6大于5000A的短路电流：无条件瞬动、切断故障时间小于60ms。</w:t>
      </w:r>
    </w:p>
    <w:p>
      <w:pPr>
        <w:snapToGrid w:val="0"/>
        <w:spacing w:line="360" w:lineRule="auto"/>
        <w:ind w:left="420" w:leftChars="200"/>
        <w:rPr>
          <w:snapToGrid w:val="0"/>
          <w:kern w:val="0"/>
          <w:sz w:val="28"/>
        </w:rPr>
      </w:pPr>
      <w:r>
        <w:rPr>
          <w:rFonts w:hint="eastAsia"/>
          <w:snapToGrid w:val="0"/>
          <w:kern w:val="0"/>
          <w:sz w:val="28"/>
        </w:rPr>
        <w:t>2.1.7出线口：主电路4个，可穿不大于φ61mm的橡胶电缆；辅助电路3个，可穿不大于φ20mm的橡胶电缆。</w:t>
      </w:r>
    </w:p>
    <w:p>
      <w:pPr>
        <w:snapToGrid w:val="0"/>
        <w:spacing w:line="360" w:lineRule="auto"/>
        <w:ind w:left="420" w:leftChars="200"/>
        <w:rPr>
          <w:snapToGrid w:val="0"/>
          <w:kern w:val="0"/>
          <w:sz w:val="28"/>
        </w:rPr>
      </w:pPr>
      <w:r>
        <w:rPr>
          <w:rFonts w:hint="eastAsia"/>
          <w:snapToGrid w:val="0"/>
          <w:kern w:val="0"/>
          <w:sz w:val="28"/>
        </w:rPr>
        <w:t>2.1.8保护单元技术参数</w:t>
      </w:r>
    </w:p>
    <w:p>
      <w:pPr>
        <w:snapToGrid w:val="0"/>
        <w:spacing w:line="360" w:lineRule="auto"/>
        <w:ind w:left="420" w:leftChars="200"/>
        <w:rPr>
          <w:snapToGrid w:val="0"/>
          <w:kern w:val="0"/>
          <w:sz w:val="28"/>
        </w:rPr>
      </w:pPr>
      <w:r>
        <w:rPr>
          <w:rFonts w:hint="eastAsia"/>
          <w:snapToGrid w:val="0"/>
          <w:kern w:val="0"/>
          <w:sz w:val="28"/>
        </w:rPr>
        <w:t>a）短路保护</w:t>
      </w:r>
    </w:p>
    <w:p>
      <w:pPr>
        <w:snapToGrid w:val="0"/>
        <w:spacing w:line="360" w:lineRule="auto"/>
        <w:ind w:left="420" w:leftChars="200"/>
        <w:rPr>
          <w:snapToGrid w:val="0"/>
          <w:kern w:val="0"/>
          <w:sz w:val="28"/>
        </w:rPr>
      </w:pPr>
      <w:r>
        <w:rPr>
          <w:rFonts w:hint="eastAsia"/>
          <w:snapToGrid w:val="0"/>
          <w:kern w:val="0"/>
          <w:sz w:val="28"/>
        </w:rPr>
        <w:t>短路保护具有相敏保护功能，可有效躲开电机的启动电流。</w:t>
      </w:r>
    </w:p>
    <w:p>
      <w:pPr>
        <w:snapToGrid w:val="0"/>
        <w:spacing w:line="360" w:lineRule="auto"/>
        <w:ind w:firstLine="560" w:firstLineChars="200"/>
        <w:rPr>
          <w:snapToGrid w:val="0"/>
          <w:kern w:val="0"/>
          <w:sz w:val="28"/>
        </w:rPr>
      </w:pPr>
      <w:r>
        <w:rPr>
          <w:rFonts w:hint="eastAsia"/>
          <w:snapToGrid w:val="0"/>
          <w:kern w:val="0"/>
          <w:sz w:val="28"/>
        </w:rPr>
        <w:t>短路保护动作倍数分档连续可调，短路整定电流值为开关整定电流的3～10倍，精度为±5%。短路保护动作时间小于100ms。</w:t>
      </w:r>
    </w:p>
    <w:p>
      <w:pPr>
        <w:snapToGrid w:val="0"/>
        <w:spacing w:line="360" w:lineRule="auto"/>
        <w:ind w:left="420" w:leftChars="200"/>
        <w:rPr>
          <w:snapToGrid w:val="0"/>
          <w:kern w:val="0"/>
          <w:sz w:val="28"/>
        </w:rPr>
      </w:pPr>
      <w:r>
        <w:rPr>
          <w:rFonts w:hint="eastAsia"/>
          <w:snapToGrid w:val="0"/>
          <w:kern w:val="0"/>
          <w:sz w:val="28"/>
        </w:rPr>
        <w:t>b）过载保护特性</w:t>
      </w:r>
    </w:p>
    <w:p>
      <w:pPr>
        <w:snapToGrid w:val="0"/>
        <w:spacing w:line="360" w:lineRule="auto"/>
        <w:ind w:firstLine="560" w:firstLineChars="200"/>
        <w:rPr>
          <w:rFonts w:hint="eastAsia"/>
          <w:snapToGrid w:val="0"/>
          <w:kern w:val="0"/>
          <w:sz w:val="28"/>
        </w:rPr>
      </w:pPr>
      <w:r>
        <w:rPr>
          <w:rFonts w:hint="eastAsia"/>
          <w:snapToGrid w:val="0"/>
          <w:kern w:val="0"/>
          <w:sz w:val="28"/>
        </w:rPr>
        <w:t>过载保护采用热积累算法原理，还可实现断续过载情况下的过载保护。过载动作时间与理论计算值误差小于±500ms，电流计算精度为±5%。</w:t>
      </w:r>
    </w:p>
    <w:p>
      <w:pPr>
        <w:pStyle w:val="2"/>
        <w:rPr>
          <w:lang w:bidi="ar-SA"/>
        </w:rPr>
      </w:pP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53"/>
        <w:gridCol w:w="2671"/>
        <w:gridCol w:w="1586"/>
      </w:tblGrid>
      <w:tr>
        <w:tblPrEx>
          <w:tblCellMar>
            <w:top w:w="0" w:type="dxa"/>
            <w:left w:w="108" w:type="dxa"/>
            <w:bottom w:w="0" w:type="dxa"/>
            <w:right w:w="108" w:type="dxa"/>
          </w:tblCellMar>
        </w:tblPrEx>
        <w:trPr>
          <w:trHeight w:val="420" w:hRule="atLeast"/>
          <w:jc w:val="center"/>
        </w:trPr>
        <w:tc>
          <w:tcPr>
            <w:tcW w:w="2753" w:type="dxa"/>
            <w:vAlign w:val="center"/>
          </w:tcPr>
          <w:p>
            <w:pPr>
              <w:numPr>
                <w:ilvl w:val="0"/>
                <w:numId w:val="2"/>
              </w:numPr>
              <w:snapToGrid w:val="0"/>
              <w:spacing w:line="360" w:lineRule="auto"/>
              <w:ind w:firstLine="463"/>
              <w:rPr>
                <w:snapToGrid w:val="0"/>
                <w:kern w:val="0"/>
                <w:sz w:val="24"/>
              </w:rPr>
            </w:pPr>
            <w:r>
              <w:rPr>
                <w:rFonts w:hint="eastAsia"/>
                <w:snapToGrid w:val="0"/>
                <w:kern w:val="0"/>
                <w:sz w:val="24"/>
              </w:rPr>
              <w:t>整定电流的过载倍数</w:t>
            </w:r>
          </w:p>
        </w:tc>
        <w:tc>
          <w:tcPr>
            <w:tcW w:w="2671" w:type="dxa"/>
            <w:vAlign w:val="center"/>
          </w:tcPr>
          <w:p>
            <w:pPr>
              <w:numPr>
                <w:ilvl w:val="0"/>
                <w:numId w:val="2"/>
              </w:numPr>
              <w:snapToGrid w:val="0"/>
              <w:spacing w:line="360" w:lineRule="auto"/>
              <w:ind w:firstLine="463"/>
              <w:rPr>
                <w:snapToGrid w:val="0"/>
                <w:kern w:val="0"/>
                <w:sz w:val="24"/>
              </w:rPr>
            </w:pPr>
            <w:r>
              <w:rPr>
                <w:rFonts w:hint="eastAsia"/>
                <w:snapToGrid w:val="0"/>
                <w:kern w:val="0"/>
                <w:sz w:val="24"/>
              </w:rPr>
              <w:t>动作时间</w:t>
            </w:r>
          </w:p>
        </w:tc>
        <w:tc>
          <w:tcPr>
            <w:tcW w:w="1586" w:type="dxa"/>
            <w:vAlign w:val="center"/>
          </w:tcPr>
          <w:p>
            <w:pPr>
              <w:numPr>
                <w:ilvl w:val="0"/>
                <w:numId w:val="2"/>
              </w:numPr>
              <w:snapToGrid w:val="0"/>
              <w:spacing w:line="360" w:lineRule="auto"/>
              <w:ind w:firstLine="463"/>
              <w:rPr>
                <w:snapToGrid w:val="0"/>
                <w:kern w:val="0"/>
                <w:sz w:val="24"/>
              </w:rPr>
            </w:pPr>
            <w:r>
              <w:rPr>
                <w:rFonts w:hint="eastAsia"/>
                <w:snapToGrid w:val="0"/>
                <w:kern w:val="0"/>
                <w:sz w:val="24"/>
              </w:rPr>
              <w:t>起始状态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753" w:type="dxa"/>
            <w:vAlign w:val="center"/>
          </w:tcPr>
          <w:p>
            <w:pPr>
              <w:numPr>
                <w:ilvl w:val="0"/>
                <w:numId w:val="2"/>
              </w:numPr>
              <w:snapToGrid w:val="0"/>
              <w:spacing w:line="360" w:lineRule="auto"/>
              <w:ind w:firstLine="463"/>
              <w:rPr>
                <w:snapToGrid w:val="0"/>
                <w:kern w:val="0"/>
                <w:sz w:val="24"/>
              </w:rPr>
            </w:pPr>
            <w:r>
              <w:rPr>
                <w:rFonts w:hint="eastAsia"/>
                <w:snapToGrid w:val="0"/>
                <w:kern w:val="0"/>
                <w:sz w:val="24"/>
              </w:rPr>
              <w:t>1.05</w:t>
            </w:r>
          </w:p>
        </w:tc>
        <w:tc>
          <w:tcPr>
            <w:tcW w:w="2671" w:type="dxa"/>
            <w:vAlign w:val="center"/>
          </w:tcPr>
          <w:p>
            <w:pPr>
              <w:numPr>
                <w:ilvl w:val="0"/>
                <w:numId w:val="2"/>
              </w:numPr>
              <w:snapToGrid w:val="0"/>
              <w:spacing w:line="360" w:lineRule="auto"/>
              <w:ind w:firstLine="463"/>
              <w:rPr>
                <w:snapToGrid w:val="0"/>
                <w:kern w:val="0"/>
                <w:sz w:val="24"/>
              </w:rPr>
            </w:pPr>
            <w:r>
              <w:rPr>
                <w:rFonts w:hint="eastAsia"/>
                <w:snapToGrid w:val="0"/>
                <w:kern w:val="0"/>
                <w:sz w:val="24"/>
              </w:rPr>
              <w:t>2h不动作</w:t>
            </w:r>
          </w:p>
        </w:tc>
        <w:tc>
          <w:tcPr>
            <w:tcW w:w="1586" w:type="dxa"/>
            <w:vAlign w:val="center"/>
          </w:tcPr>
          <w:p>
            <w:pPr>
              <w:numPr>
                <w:ilvl w:val="0"/>
                <w:numId w:val="2"/>
              </w:numPr>
              <w:snapToGrid w:val="0"/>
              <w:spacing w:line="360" w:lineRule="auto"/>
              <w:ind w:firstLine="463"/>
              <w:rPr>
                <w:snapToGrid w:val="0"/>
                <w:kern w:val="0"/>
                <w:sz w:val="24"/>
              </w:rPr>
            </w:pPr>
            <w:r>
              <w:rPr>
                <w:rFonts w:hint="eastAsia"/>
                <w:snapToGrid w:val="0"/>
                <w:kern w:val="0"/>
                <w:sz w:val="24"/>
              </w:rPr>
              <w:t>冷态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753" w:type="dxa"/>
            <w:vAlign w:val="center"/>
          </w:tcPr>
          <w:p>
            <w:pPr>
              <w:numPr>
                <w:ilvl w:val="0"/>
                <w:numId w:val="2"/>
              </w:numPr>
              <w:snapToGrid w:val="0"/>
              <w:spacing w:line="360" w:lineRule="auto"/>
              <w:ind w:firstLine="463"/>
              <w:rPr>
                <w:snapToGrid w:val="0"/>
                <w:kern w:val="0"/>
                <w:sz w:val="24"/>
              </w:rPr>
            </w:pPr>
            <w:r>
              <w:rPr>
                <w:rFonts w:hint="eastAsia"/>
                <w:snapToGrid w:val="0"/>
                <w:kern w:val="0"/>
                <w:sz w:val="24"/>
              </w:rPr>
              <w:t>1.2</w:t>
            </w:r>
          </w:p>
        </w:tc>
        <w:tc>
          <w:tcPr>
            <w:tcW w:w="2671" w:type="dxa"/>
            <w:vAlign w:val="center"/>
          </w:tcPr>
          <w:p>
            <w:pPr>
              <w:numPr>
                <w:ilvl w:val="0"/>
                <w:numId w:val="2"/>
              </w:numPr>
              <w:snapToGrid w:val="0"/>
              <w:spacing w:line="360" w:lineRule="auto"/>
              <w:ind w:firstLine="463"/>
              <w:rPr>
                <w:snapToGrid w:val="0"/>
                <w:kern w:val="0"/>
                <w:sz w:val="24"/>
              </w:rPr>
            </w:pPr>
            <w:r>
              <w:rPr>
                <w:rFonts w:hint="eastAsia"/>
                <w:snapToGrid w:val="0"/>
                <w:kern w:val="0"/>
                <w:sz w:val="24"/>
              </w:rPr>
              <w:t>0.2h～1h</w:t>
            </w:r>
          </w:p>
        </w:tc>
        <w:tc>
          <w:tcPr>
            <w:tcW w:w="1586" w:type="dxa"/>
            <w:vAlign w:val="center"/>
          </w:tcPr>
          <w:p>
            <w:pPr>
              <w:numPr>
                <w:ilvl w:val="0"/>
                <w:numId w:val="2"/>
              </w:numPr>
              <w:snapToGrid w:val="0"/>
              <w:spacing w:line="360" w:lineRule="auto"/>
              <w:ind w:firstLine="463"/>
              <w:rPr>
                <w:snapToGrid w:val="0"/>
                <w:kern w:val="0"/>
                <w:sz w:val="24"/>
              </w:rPr>
            </w:pPr>
            <w:r>
              <w:rPr>
                <w:rFonts w:hint="eastAsia"/>
                <w:snapToGrid w:val="0"/>
                <w:kern w:val="0"/>
                <w:sz w:val="24"/>
              </w:rPr>
              <w:t>热态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753" w:type="dxa"/>
            <w:vAlign w:val="center"/>
          </w:tcPr>
          <w:p>
            <w:pPr>
              <w:numPr>
                <w:ilvl w:val="0"/>
                <w:numId w:val="2"/>
              </w:numPr>
              <w:snapToGrid w:val="0"/>
              <w:spacing w:line="360" w:lineRule="auto"/>
              <w:ind w:firstLine="463"/>
              <w:rPr>
                <w:snapToGrid w:val="0"/>
                <w:kern w:val="0"/>
                <w:sz w:val="24"/>
              </w:rPr>
            </w:pPr>
            <w:r>
              <w:rPr>
                <w:rFonts w:hint="eastAsia"/>
                <w:snapToGrid w:val="0"/>
                <w:kern w:val="0"/>
                <w:sz w:val="24"/>
              </w:rPr>
              <w:t>1.5</w:t>
            </w:r>
          </w:p>
        </w:tc>
        <w:tc>
          <w:tcPr>
            <w:tcW w:w="2671" w:type="dxa"/>
            <w:vAlign w:val="center"/>
          </w:tcPr>
          <w:p>
            <w:pPr>
              <w:numPr>
                <w:ilvl w:val="0"/>
                <w:numId w:val="2"/>
              </w:numPr>
              <w:snapToGrid w:val="0"/>
              <w:spacing w:line="360" w:lineRule="auto"/>
              <w:ind w:firstLine="463"/>
              <w:rPr>
                <w:snapToGrid w:val="0"/>
                <w:kern w:val="0"/>
                <w:sz w:val="24"/>
              </w:rPr>
            </w:pPr>
            <w:r>
              <w:rPr>
                <w:rFonts w:hint="eastAsia"/>
                <w:snapToGrid w:val="0"/>
                <w:kern w:val="0"/>
                <w:sz w:val="24"/>
              </w:rPr>
              <w:t>90s～180s</w:t>
            </w:r>
          </w:p>
        </w:tc>
        <w:tc>
          <w:tcPr>
            <w:tcW w:w="1586" w:type="dxa"/>
            <w:vAlign w:val="center"/>
          </w:tcPr>
          <w:p>
            <w:pPr>
              <w:numPr>
                <w:ilvl w:val="0"/>
                <w:numId w:val="2"/>
              </w:numPr>
              <w:snapToGrid w:val="0"/>
              <w:spacing w:line="360" w:lineRule="auto"/>
              <w:ind w:firstLine="463"/>
              <w:rPr>
                <w:snapToGrid w:val="0"/>
                <w:kern w:val="0"/>
                <w:sz w:val="24"/>
              </w:rPr>
            </w:pPr>
            <w:r>
              <w:rPr>
                <w:rFonts w:hint="eastAsia"/>
                <w:snapToGrid w:val="0"/>
                <w:kern w:val="0"/>
                <w:sz w:val="24"/>
              </w:rPr>
              <w:t>热态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753" w:type="dxa"/>
            <w:vAlign w:val="center"/>
          </w:tcPr>
          <w:p>
            <w:pPr>
              <w:numPr>
                <w:ilvl w:val="0"/>
                <w:numId w:val="2"/>
              </w:numPr>
              <w:snapToGrid w:val="0"/>
              <w:spacing w:line="360" w:lineRule="auto"/>
              <w:ind w:firstLine="463"/>
              <w:rPr>
                <w:snapToGrid w:val="0"/>
                <w:kern w:val="0"/>
                <w:sz w:val="24"/>
              </w:rPr>
            </w:pPr>
            <w:r>
              <w:rPr>
                <w:rFonts w:hint="eastAsia"/>
                <w:snapToGrid w:val="0"/>
                <w:kern w:val="0"/>
                <w:sz w:val="24"/>
              </w:rPr>
              <w:t>2.0</w:t>
            </w:r>
          </w:p>
        </w:tc>
        <w:tc>
          <w:tcPr>
            <w:tcW w:w="2671" w:type="dxa"/>
            <w:vAlign w:val="center"/>
          </w:tcPr>
          <w:p>
            <w:pPr>
              <w:numPr>
                <w:ilvl w:val="0"/>
                <w:numId w:val="2"/>
              </w:numPr>
              <w:snapToGrid w:val="0"/>
              <w:spacing w:line="360" w:lineRule="auto"/>
              <w:ind w:firstLine="463"/>
              <w:rPr>
                <w:snapToGrid w:val="0"/>
                <w:kern w:val="0"/>
                <w:sz w:val="24"/>
              </w:rPr>
            </w:pPr>
            <w:r>
              <w:rPr>
                <w:rFonts w:hint="eastAsia"/>
                <w:snapToGrid w:val="0"/>
                <w:kern w:val="0"/>
                <w:sz w:val="24"/>
              </w:rPr>
              <w:t>45s～90s</w:t>
            </w:r>
          </w:p>
        </w:tc>
        <w:tc>
          <w:tcPr>
            <w:tcW w:w="1586" w:type="dxa"/>
            <w:vAlign w:val="center"/>
          </w:tcPr>
          <w:p>
            <w:pPr>
              <w:numPr>
                <w:ilvl w:val="0"/>
                <w:numId w:val="2"/>
              </w:numPr>
              <w:snapToGrid w:val="0"/>
              <w:spacing w:line="360" w:lineRule="auto"/>
              <w:ind w:firstLine="463"/>
              <w:rPr>
                <w:snapToGrid w:val="0"/>
                <w:kern w:val="0"/>
                <w:sz w:val="24"/>
              </w:rPr>
            </w:pPr>
            <w:r>
              <w:rPr>
                <w:rFonts w:hint="eastAsia"/>
                <w:snapToGrid w:val="0"/>
                <w:kern w:val="0"/>
                <w:sz w:val="24"/>
              </w:rPr>
              <w:t>热态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753" w:type="dxa"/>
            <w:vAlign w:val="center"/>
          </w:tcPr>
          <w:p>
            <w:pPr>
              <w:numPr>
                <w:ilvl w:val="0"/>
                <w:numId w:val="2"/>
              </w:numPr>
              <w:snapToGrid w:val="0"/>
              <w:spacing w:line="360" w:lineRule="auto"/>
              <w:ind w:firstLine="463"/>
              <w:rPr>
                <w:snapToGrid w:val="0"/>
                <w:kern w:val="0"/>
                <w:sz w:val="24"/>
              </w:rPr>
            </w:pPr>
            <w:r>
              <w:rPr>
                <w:rFonts w:hint="eastAsia"/>
                <w:snapToGrid w:val="0"/>
                <w:kern w:val="0"/>
                <w:sz w:val="24"/>
              </w:rPr>
              <w:t>4.0</w:t>
            </w:r>
          </w:p>
        </w:tc>
        <w:tc>
          <w:tcPr>
            <w:tcW w:w="2671" w:type="dxa"/>
            <w:vAlign w:val="center"/>
          </w:tcPr>
          <w:p>
            <w:pPr>
              <w:numPr>
                <w:ilvl w:val="0"/>
                <w:numId w:val="2"/>
              </w:numPr>
              <w:snapToGrid w:val="0"/>
              <w:spacing w:line="360" w:lineRule="auto"/>
              <w:ind w:firstLine="463"/>
              <w:rPr>
                <w:snapToGrid w:val="0"/>
                <w:kern w:val="0"/>
                <w:sz w:val="24"/>
              </w:rPr>
            </w:pPr>
            <w:r>
              <w:rPr>
                <w:rFonts w:hint="eastAsia"/>
                <w:snapToGrid w:val="0"/>
                <w:kern w:val="0"/>
                <w:sz w:val="24"/>
              </w:rPr>
              <w:t>14s～45s</w:t>
            </w:r>
          </w:p>
        </w:tc>
        <w:tc>
          <w:tcPr>
            <w:tcW w:w="1586" w:type="dxa"/>
            <w:vAlign w:val="center"/>
          </w:tcPr>
          <w:p>
            <w:pPr>
              <w:numPr>
                <w:ilvl w:val="0"/>
                <w:numId w:val="2"/>
              </w:numPr>
              <w:snapToGrid w:val="0"/>
              <w:spacing w:line="360" w:lineRule="auto"/>
              <w:ind w:firstLine="463"/>
              <w:rPr>
                <w:snapToGrid w:val="0"/>
                <w:kern w:val="0"/>
                <w:sz w:val="24"/>
              </w:rPr>
            </w:pPr>
            <w:r>
              <w:rPr>
                <w:rFonts w:hint="eastAsia"/>
                <w:snapToGrid w:val="0"/>
                <w:kern w:val="0"/>
                <w:sz w:val="24"/>
              </w:rPr>
              <w:t>热态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753" w:type="dxa"/>
            <w:vAlign w:val="center"/>
          </w:tcPr>
          <w:p>
            <w:pPr>
              <w:numPr>
                <w:ilvl w:val="0"/>
                <w:numId w:val="2"/>
              </w:numPr>
              <w:snapToGrid w:val="0"/>
              <w:spacing w:line="360" w:lineRule="auto"/>
              <w:ind w:firstLine="463"/>
              <w:rPr>
                <w:snapToGrid w:val="0"/>
                <w:kern w:val="0"/>
                <w:sz w:val="24"/>
              </w:rPr>
            </w:pPr>
            <w:r>
              <w:rPr>
                <w:rFonts w:hint="eastAsia"/>
                <w:snapToGrid w:val="0"/>
                <w:kern w:val="0"/>
                <w:sz w:val="24"/>
              </w:rPr>
              <w:t>6.0</w:t>
            </w:r>
          </w:p>
        </w:tc>
        <w:tc>
          <w:tcPr>
            <w:tcW w:w="2671" w:type="dxa"/>
            <w:vAlign w:val="center"/>
          </w:tcPr>
          <w:p>
            <w:pPr>
              <w:numPr>
                <w:ilvl w:val="0"/>
                <w:numId w:val="2"/>
              </w:numPr>
              <w:snapToGrid w:val="0"/>
              <w:spacing w:line="360" w:lineRule="auto"/>
              <w:ind w:firstLine="463"/>
              <w:rPr>
                <w:snapToGrid w:val="0"/>
                <w:kern w:val="0"/>
                <w:sz w:val="24"/>
              </w:rPr>
            </w:pPr>
            <w:r>
              <w:rPr>
                <w:rFonts w:hint="eastAsia"/>
                <w:snapToGrid w:val="0"/>
                <w:kern w:val="0"/>
                <w:sz w:val="24"/>
              </w:rPr>
              <w:t>8s～14s</w:t>
            </w:r>
          </w:p>
        </w:tc>
        <w:tc>
          <w:tcPr>
            <w:tcW w:w="1586" w:type="dxa"/>
            <w:vAlign w:val="center"/>
          </w:tcPr>
          <w:p>
            <w:pPr>
              <w:numPr>
                <w:ilvl w:val="0"/>
                <w:numId w:val="2"/>
              </w:numPr>
              <w:snapToGrid w:val="0"/>
              <w:spacing w:line="360" w:lineRule="auto"/>
              <w:ind w:firstLine="463"/>
              <w:rPr>
                <w:snapToGrid w:val="0"/>
                <w:kern w:val="0"/>
                <w:sz w:val="24"/>
              </w:rPr>
            </w:pPr>
            <w:r>
              <w:rPr>
                <w:rFonts w:hint="eastAsia"/>
                <w:snapToGrid w:val="0"/>
                <w:kern w:val="0"/>
                <w:sz w:val="24"/>
              </w:rPr>
              <w:t>冷态</w:t>
            </w:r>
          </w:p>
        </w:tc>
      </w:tr>
    </w:tbl>
    <w:p>
      <w:pPr>
        <w:pStyle w:val="7"/>
        <w:spacing w:line="240" w:lineRule="auto"/>
        <w:ind w:firstLine="560" w:firstLineChars="200"/>
        <w:rPr>
          <w:rFonts w:ascii="宋体" w:hAnsi="宋体" w:eastAsia="宋体"/>
          <w:bCs w:val="0"/>
          <w:color w:val="auto"/>
        </w:rPr>
      </w:pPr>
      <w:r>
        <w:rPr>
          <w:rFonts w:hint="eastAsia" w:ascii="宋体" w:hAnsi="宋体" w:eastAsia="宋体"/>
          <w:bCs w:val="0"/>
          <w:color w:val="auto"/>
        </w:rPr>
        <w:t>c）漏电闭锁保护</w:t>
      </w:r>
    </w:p>
    <w:p>
      <w:pPr>
        <w:pStyle w:val="7"/>
        <w:spacing w:line="240" w:lineRule="auto"/>
        <w:ind w:firstLine="560" w:firstLineChars="200"/>
        <w:rPr>
          <w:rFonts w:ascii="宋体" w:hAnsi="宋体" w:eastAsia="宋体"/>
          <w:bCs w:val="0"/>
          <w:color w:val="auto"/>
        </w:rPr>
      </w:pPr>
      <w:r>
        <w:rPr>
          <w:rFonts w:hint="eastAsia" w:ascii="宋体" w:hAnsi="宋体" w:eastAsia="宋体"/>
          <w:bCs w:val="0"/>
          <w:color w:val="auto"/>
        </w:rPr>
        <w:t>开关在分闸状态、负荷侧绝缘电阻在40kΩ（1140V）、22kΩ（660V）闭锁值以下时，能可靠地实现漏电闭锁，并显示“漏电闭锁”和阻值；</w:t>
      </w:r>
    </w:p>
    <w:p>
      <w:pPr>
        <w:pStyle w:val="7"/>
        <w:spacing w:line="240" w:lineRule="auto"/>
        <w:ind w:firstLine="560" w:firstLineChars="200"/>
        <w:rPr>
          <w:rFonts w:ascii="宋体" w:hAnsi="宋体" w:eastAsia="宋体"/>
          <w:bCs w:val="0"/>
          <w:color w:val="auto"/>
        </w:rPr>
      </w:pPr>
      <w:r>
        <w:rPr>
          <w:rFonts w:hint="eastAsia" w:ascii="宋体" w:hAnsi="宋体" w:eastAsia="宋体"/>
          <w:bCs w:val="0"/>
          <w:color w:val="auto"/>
        </w:rPr>
        <w:t>当绝缘电阻上升到大于动作值时，则自动解除漏电闭锁。</w:t>
      </w:r>
    </w:p>
    <w:p>
      <w:pPr>
        <w:pStyle w:val="7"/>
        <w:spacing w:line="240" w:lineRule="auto"/>
        <w:ind w:firstLine="560" w:firstLineChars="200"/>
        <w:rPr>
          <w:rFonts w:ascii="宋体" w:hAnsi="宋体" w:eastAsia="宋体"/>
          <w:bCs w:val="0"/>
          <w:color w:val="auto"/>
        </w:rPr>
      </w:pPr>
      <w:r>
        <w:rPr>
          <w:rFonts w:hint="eastAsia" w:ascii="宋体" w:hAnsi="宋体" w:eastAsia="宋体"/>
          <w:bCs w:val="0"/>
          <w:color w:val="auto"/>
        </w:rPr>
        <w:t>d）选择性漏电保护</w:t>
      </w:r>
    </w:p>
    <w:p>
      <w:pPr>
        <w:pStyle w:val="7"/>
        <w:spacing w:line="240" w:lineRule="auto"/>
        <w:ind w:firstLine="560" w:firstLineChars="200"/>
        <w:rPr>
          <w:rFonts w:ascii="宋体" w:hAnsi="宋体" w:eastAsia="宋体"/>
          <w:bCs w:val="0"/>
          <w:color w:val="auto"/>
        </w:rPr>
      </w:pPr>
      <w:r>
        <w:rPr>
          <w:rFonts w:hint="eastAsia" w:ascii="宋体" w:hAnsi="宋体" w:eastAsia="宋体"/>
          <w:bCs w:val="0"/>
          <w:color w:val="auto"/>
        </w:rPr>
        <w:t>漏电保护具有选择性，自动选择漏电故障。</w:t>
      </w:r>
    </w:p>
    <w:p>
      <w:pPr>
        <w:pStyle w:val="7"/>
        <w:spacing w:line="240" w:lineRule="auto"/>
        <w:ind w:firstLine="560" w:firstLineChars="200"/>
        <w:rPr>
          <w:rFonts w:ascii="宋体" w:hAnsi="宋体" w:eastAsia="宋体"/>
          <w:bCs w:val="0"/>
          <w:color w:val="auto"/>
        </w:rPr>
      </w:pPr>
      <w:r>
        <w:rPr>
          <w:rFonts w:hint="eastAsia" w:ascii="宋体" w:hAnsi="宋体" w:eastAsia="宋体"/>
          <w:bCs w:val="0"/>
          <w:color w:val="auto"/>
        </w:rPr>
        <w:t>在运行中负荷侧绝缘电阻在11kΩ动作值以下时，能可靠地实现选择性漏电保护跳闸并显示“漏电故障”。</w:t>
      </w:r>
    </w:p>
    <w:p>
      <w:pPr>
        <w:pStyle w:val="7"/>
        <w:spacing w:line="240" w:lineRule="auto"/>
        <w:ind w:firstLine="560" w:firstLineChars="200"/>
        <w:rPr>
          <w:rFonts w:ascii="宋体" w:hAnsi="宋体" w:eastAsia="宋体"/>
          <w:bCs w:val="0"/>
          <w:color w:val="auto"/>
        </w:rPr>
      </w:pPr>
      <w:r>
        <w:rPr>
          <w:rFonts w:hint="eastAsia" w:ascii="宋体" w:hAnsi="宋体" w:eastAsia="宋体"/>
          <w:bCs w:val="0"/>
          <w:color w:val="auto"/>
        </w:rPr>
        <w:t>e）过压保护</w:t>
      </w:r>
    </w:p>
    <w:p>
      <w:pPr>
        <w:pStyle w:val="7"/>
        <w:spacing w:line="240" w:lineRule="auto"/>
        <w:ind w:firstLine="560" w:firstLineChars="200"/>
        <w:rPr>
          <w:rFonts w:ascii="宋体" w:hAnsi="宋体" w:eastAsia="宋体"/>
          <w:bCs w:val="0"/>
          <w:color w:val="auto"/>
        </w:rPr>
      </w:pPr>
      <w:r>
        <w:rPr>
          <w:rFonts w:hint="eastAsia" w:ascii="宋体" w:hAnsi="宋体" w:eastAsia="宋体"/>
          <w:bCs w:val="0"/>
          <w:color w:val="auto"/>
        </w:rPr>
        <w:t>当电网进线电压Uac&gt;120%额定电压时，过压保护动作，动作时间小于100ms，精度为±5%。</w:t>
      </w:r>
    </w:p>
    <w:p>
      <w:pPr>
        <w:pStyle w:val="7"/>
        <w:spacing w:line="240" w:lineRule="auto"/>
        <w:ind w:firstLine="560" w:firstLineChars="200"/>
        <w:rPr>
          <w:rFonts w:ascii="宋体" w:hAnsi="宋体" w:eastAsia="宋体"/>
          <w:bCs w:val="0"/>
          <w:color w:val="auto"/>
        </w:rPr>
      </w:pPr>
      <w:r>
        <w:rPr>
          <w:rFonts w:hint="eastAsia" w:ascii="宋体" w:hAnsi="宋体" w:eastAsia="宋体"/>
          <w:bCs w:val="0"/>
          <w:color w:val="auto"/>
        </w:rPr>
        <w:t>f）欠压保护</w:t>
      </w:r>
    </w:p>
    <w:p>
      <w:pPr>
        <w:pStyle w:val="7"/>
        <w:spacing w:line="240" w:lineRule="auto"/>
        <w:ind w:firstLine="560" w:firstLineChars="200"/>
        <w:rPr>
          <w:rFonts w:ascii="宋体" w:hAnsi="宋体" w:eastAsia="宋体"/>
          <w:bCs w:val="0"/>
          <w:color w:val="auto"/>
        </w:rPr>
      </w:pPr>
      <w:r>
        <w:rPr>
          <w:rFonts w:hint="eastAsia" w:ascii="宋体" w:hAnsi="宋体" w:eastAsia="宋体"/>
          <w:bCs w:val="0"/>
          <w:color w:val="auto"/>
        </w:rPr>
        <w:t>当电网进线电压Uac&lt;65%额定电压时，欠压保护延时5s动作，精度为±5%。</w:t>
      </w:r>
    </w:p>
    <w:p>
      <w:pPr>
        <w:pStyle w:val="7"/>
        <w:spacing w:line="240" w:lineRule="auto"/>
        <w:ind w:firstLine="560" w:firstLineChars="200"/>
        <w:rPr>
          <w:rFonts w:ascii="宋体" w:hAnsi="宋体" w:eastAsia="宋体"/>
          <w:bCs w:val="0"/>
          <w:color w:val="auto"/>
        </w:rPr>
      </w:pPr>
      <w:r>
        <w:rPr>
          <w:rFonts w:hint="eastAsia" w:ascii="宋体" w:hAnsi="宋体" w:eastAsia="宋体"/>
          <w:bCs w:val="0"/>
          <w:color w:val="auto"/>
        </w:rPr>
        <w:t>欠压保护可以整定选择“打开”或“关闭”。</w:t>
      </w:r>
    </w:p>
    <w:p>
      <w:pPr>
        <w:pStyle w:val="7"/>
        <w:spacing w:line="240" w:lineRule="auto"/>
        <w:ind w:firstLine="560" w:firstLineChars="200"/>
        <w:rPr>
          <w:rFonts w:ascii="宋体" w:hAnsi="宋体" w:eastAsia="宋体"/>
          <w:bCs w:val="0"/>
          <w:color w:val="auto"/>
        </w:rPr>
      </w:pPr>
      <w:r>
        <w:rPr>
          <w:rFonts w:hint="eastAsia" w:ascii="宋体" w:hAnsi="宋体" w:eastAsia="宋体"/>
          <w:bCs w:val="0"/>
          <w:color w:val="auto"/>
        </w:rPr>
        <w:t>额定输出功率：110kW</w:t>
      </w:r>
    </w:p>
    <w:p>
      <w:pPr>
        <w:pStyle w:val="7"/>
        <w:spacing w:line="240" w:lineRule="auto"/>
        <w:ind w:firstLine="560" w:firstLineChars="200"/>
        <w:rPr>
          <w:rFonts w:ascii="宋体" w:hAnsi="宋体" w:eastAsia="宋体"/>
          <w:bCs w:val="0"/>
          <w:color w:val="auto"/>
        </w:rPr>
      </w:pPr>
      <w:r>
        <w:rPr>
          <w:rFonts w:hint="eastAsia" w:ascii="宋体" w:hAnsi="宋体" w:eastAsia="宋体"/>
          <w:bCs w:val="0"/>
          <w:color w:val="auto"/>
        </w:rPr>
        <w:t xml:space="preserve">输入电压：AC660/1140（70％～110％）；        </w:t>
      </w:r>
    </w:p>
    <w:p>
      <w:pPr>
        <w:pStyle w:val="7"/>
        <w:spacing w:line="240" w:lineRule="auto"/>
        <w:ind w:firstLine="560" w:firstLineChars="200"/>
        <w:rPr>
          <w:rFonts w:ascii="宋体" w:hAnsi="宋体" w:eastAsia="宋体"/>
          <w:bCs w:val="0"/>
          <w:color w:val="auto"/>
        </w:rPr>
      </w:pPr>
      <w:r>
        <w:rPr>
          <w:rFonts w:hint="eastAsia" w:ascii="宋体" w:hAnsi="宋体" w:eastAsia="宋体"/>
          <w:bCs w:val="0"/>
          <w:color w:val="auto"/>
        </w:rPr>
        <w:t>输入电流：单台隔离开关：≥250A；</w:t>
      </w:r>
    </w:p>
    <w:p>
      <w:pPr>
        <w:pStyle w:val="7"/>
        <w:spacing w:line="240" w:lineRule="auto"/>
        <w:ind w:firstLine="560" w:firstLineChars="200"/>
        <w:rPr>
          <w:rFonts w:ascii="宋体" w:hAnsi="宋体" w:eastAsia="宋体"/>
          <w:bCs w:val="0"/>
          <w:color w:val="auto"/>
        </w:rPr>
      </w:pPr>
      <w:r>
        <w:rPr>
          <w:rFonts w:hint="eastAsia" w:ascii="宋体" w:hAnsi="宋体" w:eastAsia="宋体"/>
          <w:bCs w:val="0"/>
          <w:color w:val="auto"/>
        </w:rPr>
        <w:t>输出电压：0～1140V；</w:t>
      </w:r>
    </w:p>
    <w:p>
      <w:pPr>
        <w:pStyle w:val="7"/>
        <w:spacing w:line="240" w:lineRule="auto"/>
        <w:ind w:firstLine="560" w:firstLineChars="200"/>
        <w:rPr>
          <w:rFonts w:ascii="宋体" w:hAnsi="宋体" w:eastAsia="宋体"/>
          <w:bCs w:val="0"/>
          <w:color w:val="auto"/>
        </w:rPr>
      </w:pPr>
      <w:r>
        <w:rPr>
          <w:rFonts w:hint="eastAsia" w:ascii="宋体" w:hAnsi="宋体" w:eastAsia="宋体"/>
          <w:bCs w:val="0"/>
          <w:color w:val="auto"/>
        </w:rPr>
        <w:t>输出电流：0～70A；</w:t>
      </w:r>
    </w:p>
    <w:p>
      <w:pPr>
        <w:pStyle w:val="7"/>
        <w:spacing w:line="240" w:lineRule="auto"/>
        <w:ind w:firstLine="560" w:firstLineChars="200"/>
        <w:rPr>
          <w:rFonts w:ascii="宋体" w:hAnsi="宋体" w:eastAsia="宋体"/>
          <w:bCs w:val="0"/>
          <w:color w:val="auto"/>
        </w:rPr>
      </w:pPr>
      <w:r>
        <w:rPr>
          <w:rFonts w:hint="eastAsia" w:ascii="宋体" w:hAnsi="宋体" w:eastAsia="宋体"/>
          <w:bCs w:val="0"/>
          <w:color w:val="auto"/>
        </w:rPr>
        <w:t>输入频率：50Hz（±2%）；</w:t>
      </w:r>
    </w:p>
    <w:p>
      <w:pPr>
        <w:pStyle w:val="7"/>
        <w:spacing w:line="240" w:lineRule="auto"/>
        <w:ind w:firstLine="560" w:firstLineChars="200"/>
        <w:rPr>
          <w:rFonts w:ascii="宋体" w:hAnsi="宋体" w:eastAsia="宋体"/>
          <w:bCs w:val="0"/>
          <w:color w:val="auto"/>
        </w:rPr>
      </w:pPr>
      <w:r>
        <w:rPr>
          <w:rFonts w:hint="eastAsia" w:ascii="宋体" w:hAnsi="宋体" w:eastAsia="宋体"/>
          <w:bCs w:val="0"/>
          <w:color w:val="auto"/>
        </w:rPr>
        <w:t>输出频率：5～50Hz 连续可调；</w:t>
      </w:r>
    </w:p>
    <w:p>
      <w:pPr>
        <w:pStyle w:val="7"/>
        <w:spacing w:line="240" w:lineRule="auto"/>
        <w:ind w:firstLine="560" w:firstLineChars="200"/>
        <w:rPr>
          <w:rFonts w:ascii="宋体" w:hAnsi="宋体" w:eastAsia="宋体"/>
          <w:bCs w:val="0"/>
          <w:color w:val="auto"/>
        </w:rPr>
      </w:pPr>
      <w:r>
        <w:rPr>
          <w:rFonts w:hint="eastAsia" w:ascii="宋体" w:hAnsi="宋体" w:eastAsia="宋体"/>
          <w:bCs w:val="0"/>
          <w:color w:val="auto"/>
        </w:rPr>
        <w:t>过载能力：1.5倍额定电流（每10分钟时间间隔可持续1分钟）；</w:t>
      </w:r>
    </w:p>
    <w:p>
      <w:pPr>
        <w:pStyle w:val="7"/>
        <w:spacing w:line="240" w:lineRule="auto"/>
        <w:ind w:firstLine="560" w:firstLineChars="200"/>
        <w:rPr>
          <w:rFonts w:ascii="宋体" w:hAnsi="宋体" w:eastAsia="宋体"/>
          <w:bCs w:val="0"/>
          <w:color w:val="auto"/>
        </w:rPr>
      </w:pPr>
      <w:r>
        <w:rPr>
          <w:rFonts w:hint="eastAsia" w:ascii="宋体" w:hAnsi="宋体" w:eastAsia="宋体"/>
          <w:bCs w:val="0"/>
          <w:color w:val="auto"/>
        </w:rPr>
        <w:t>运行方式：两象限运行；</w:t>
      </w:r>
    </w:p>
    <w:p>
      <w:pPr>
        <w:pStyle w:val="7"/>
        <w:spacing w:line="240" w:lineRule="auto"/>
        <w:ind w:firstLine="560" w:firstLineChars="200"/>
        <w:rPr>
          <w:rFonts w:ascii="宋体" w:hAnsi="宋体" w:eastAsia="宋体"/>
          <w:bCs w:val="0"/>
          <w:color w:val="auto"/>
        </w:rPr>
      </w:pPr>
      <w:r>
        <w:rPr>
          <w:rFonts w:hint="eastAsia" w:ascii="宋体" w:hAnsi="宋体" w:eastAsia="宋体"/>
          <w:bCs w:val="0"/>
          <w:color w:val="auto"/>
        </w:rPr>
        <w:t>防爆型式：矿用隔爆兼本质安全型Exd[ib]</w:t>
      </w:r>
      <w:r>
        <w:rPr>
          <w:rFonts w:ascii="宋体" w:hAnsi="宋体" w:eastAsia="宋体"/>
          <w:bCs w:val="0"/>
          <w:color w:val="auto"/>
        </w:rPr>
        <w:t xml:space="preserve"> </w:t>
      </w:r>
      <w:r>
        <w:rPr>
          <w:rFonts w:hint="eastAsia" w:ascii="宋体" w:hAnsi="宋体" w:eastAsia="宋体"/>
          <w:bCs w:val="0"/>
          <w:color w:val="auto"/>
        </w:rPr>
        <w:t>I</w:t>
      </w:r>
      <w:r>
        <w:rPr>
          <w:rFonts w:ascii="宋体" w:hAnsi="宋体" w:eastAsia="宋体"/>
          <w:bCs w:val="0"/>
          <w:color w:val="auto"/>
        </w:rPr>
        <w:t xml:space="preserve"> </w:t>
      </w:r>
      <w:r>
        <w:rPr>
          <w:rFonts w:hint="eastAsia" w:ascii="宋体" w:hAnsi="宋体" w:eastAsia="宋体"/>
          <w:bCs w:val="0"/>
          <w:color w:val="auto"/>
        </w:rPr>
        <w:t>Mb；</w:t>
      </w:r>
    </w:p>
    <w:p>
      <w:pPr>
        <w:pStyle w:val="7"/>
        <w:spacing w:line="240" w:lineRule="auto"/>
        <w:ind w:firstLine="560" w:firstLineChars="200"/>
        <w:rPr>
          <w:rFonts w:ascii="宋体" w:hAnsi="宋体" w:eastAsia="宋体"/>
          <w:bCs w:val="0"/>
          <w:color w:val="auto"/>
        </w:rPr>
      </w:pPr>
      <w:r>
        <w:rPr>
          <w:rFonts w:hint="eastAsia" w:ascii="宋体" w:hAnsi="宋体" w:eastAsia="宋体"/>
          <w:bCs w:val="0"/>
          <w:color w:val="auto"/>
        </w:rPr>
        <w:t>工作方式：连续（S1）；</w:t>
      </w:r>
    </w:p>
    <w:p>
      <w:pPr>
        <w:pStyle w:val="7"/>
        <w:spacing w:line="240" w:lineRule="auto"/>
        <w:ind w:firstLine="560" w:firstLineChars="200"/>
        <w:rPr>
          <w:rFonts w:ascii="宋体" w:hAnsi="宋体" w:eastAsia="宋体"/>
          <w:bCs w:val="0"/>
          <w:color w:val="auto"/>
        </w:rPr>
      </w:pPr>
      <w:r>
        <w:rPr>
          <w:rFonts w:hint="eastAsia" w:ascii="宋体" w:hAnsi="宋体" w:eastAsia="宋体"/>
          <w:bCs w:val="0"/>
          <w:color w:val="auto"/>
        </w:rPr>
        <w:t>散热方式：热管散热冷却；</w:t>
      </w:r>
    </w:p>
    <w:p>
      <w:pPr>
        <w:pStyle w:val="7"/>
        <w:spacing w:line="240" w:lineRule="auto"/>
        <w:ind w:firstLine="560" w:firstLineChars="200"/>
        <w:rPr>
          <w:rFonts w:ascii="宋体" w:hAnsi="宋体" w:eastAsia="宋体"/>
          <w:bCs w:val="0"/>
          <w:color w:val="auto"/>
        </w:rPr>
      </w:pPr>
      <w:r>
        <w:rPr>
          <w:rFonts w:hint="eastAsia" w:ascii="宋体" w:hAnsi="宋体" w:eastAsia="宋体"/>
          <w:bCs w:val="0"/>
          <w:color w:val="auto"/>
        </w:rPr>
        <w:t>防护等级：≥IP54；</w:t>
      </w:r>
    </w:p>
    <w:p>
      <w:pPr>
        <w:widowControl/>
        <w:autoSpaceDE w:val="0"/>
        <w:autoSpaceDN w:val="0"/>
        <w:adjustRightInd w:val="0"/>
        <w:snapToGrid w:val="0"/>
        <w:spacing w:line="360" w:lineRule="auto"/>
        <w:textAlignment w:val="bottom"/>
        <w:rPr>
          <w:rFonts w:ascii="宋体" w:hAnsi="宋体" w:cs="宋体"/>
          <w:b/>
          <w:kern w:val="0"/>
          <w:sz w:val="28"/>
        </w:rPr>
      </w:pPr>
      <w:r>
        <w:rPr>
          <w:rFonts w:hint="eastAsia" w:ascii="宋体" w:hAnsi="宋体" w:cs="宋体"/>
          <w:b/>
          <w:kern w:val="0"/>
          <w:sz w:val="28"/>
        </w:rPr>
        <w:t>2.2局部通风机用隔爆兼本质安全型双电源双变频调速器</w:t>
      </w:r>
    </w:p>
    <w:p>
      <w:pPr>
        <w:pStyle w:val="7"/>
        <w:ind w:firstLine="560" w:firstLineChars="200"/>
        <w:rPr>
          <w:rFonts w:ascii="宋体" w:hAnsi="宋体" w:eastAsia="宋体"/>
          <w:bCs w:val="0"/>
          <w:color w:val="auto"/>
        </w:rPr>
      </w:pPr>
      <w:r>
        <w:rPr>
          <w:rFonts w:hint="eastAsia" w:ascii="宋体" w:hAnsi="宋体" w:eastAsia="宋体"/>
          <w:bCs w:val="0"/>
          <w:color w:val="auto"/>
        </w:rPr>
        <w:t>2.2.1一般技术参数和要求</w:t>
      </w:r>
    </w:p>
    <w:p>
      <w:pPr>
        <w:pStyle w:val="7"/>
        <w:ind w:firstLine="560" w:firstLineChars="200"/>
        <w:rPr>
          <w:rFonts w:ascii="宋体" w:hAnsi="宋体" w:eastAsia="宋体"/>
          <w:bCs w:val="0"/>
          <w:color w:val="auto"/>
        </w:rPr>
      </w:pPr>
      <w:r>
        <w:rPr>
          <w:rFonts w:ascii="宋体" w:hAnsi="宋体" w:eastAsia="宋体"/>
          <w:bCs w:val="0"/>
          <w:color w:val="auto"/>
        </w:rPr>
        <w:t>变频器功率模块</w:t>
      </w:r>
      <w:r>
        <w:rPr>
          <w:rFonts w:hint="eastAsia" w:ascii="宋体" w:hAnsi="宋体" w:eastAsia="宋体"/>
          <w:bCs w:val="0"/>
          <w:color w:val="auto"/>
        </w:rPr>
        <w:t>二极管、IGBT</w:t>
      </w:r>
      <w:r>
        <w:rPr>
          <w:rFonts w:ascii="宋体" w:hAnsi="宋体" w:eastAsia="宋体"/>
          <w:bCs w:val="0"/>
          <w:color w:val="auto"/>
        </w:rPr>
        <w:t>采用</w:t>
      </w:r>
      <w:r>
        <w:rPr>
          <w:rFonts w:hint="eastAsia" w:ascii="宋体" w:hAnsi="宋体" w:eastAsia="宋体"/>
          <w:bCs w:val="0"/>
          <w:color w:val="auto"/>
        </w:rPr>
        <w:t>不低于德国英飞凌品牌</w:t>
      </w:r>
      <w:r>
        <w:rPr>
          <w:rFonts w:ascii="宋体" w:hAnsi="宋体" w:eastAsia="宋体"/>
          <w:bCs w:val="0"/>
          <w:color w:val="auto"/>
        </w:rPr>
        <w:t>，电容</w:t>
      </w:r>
      <w:r>
        <w:rPr>
          <w:rFonts w:hint="eastAsia" w:ascii="宋体" w:hAnsi="宋体" w:eastAsia="宋体"/>
          <w:bCs w:val="0"/>
          <w:color w:val="auto"/>
        </w:rPr>
        <w:t>采用金属</w:t>
      </w:r>
      <w:r>
        <w:rPr>
          <w:rFonts w:ascii="宋体" w:hAnsi="宋体" w:eastAsia="宋体"/>
          <w:bCs w:val="0"/>
          <w:color w:val="auto"/>
        </w:rPr>
        <w:t>薄膜电容，</w:t>
      </w:r>
      <w:r>
        <w:rPr>
          <w:rFonts w:hint="eastAsia" w:ascii="宋体" w:hAnsi="宋体" w:eastAsia="宋体"/>
          <w:bCs w:val="0"/>
          <w:color w:val="auto"/>
        </w:rPr>
        <w:t>PLC采用进口品牌，电流互感器采用不低于瑞士L</w:t>
      </w:r>
      <w:r>
        <w:rPr>
          <w:rFonts w:ascii="宋体" w:hAnsi="宋体" w:eastAsia="宋体"/>
          <w:bCs w:val="0"/>
          <w:color w:val="auto"/>
        </w:rPr>
        <w:t>EM</w:t>
      </w:r>
      <w:r>
        <w:rPr>
          <w:rFonts w:hint="eastAsia" w:ascii="宋体" w:hAnsi="宋体" w:eastAsia="宋体"/>
          <w:bCs w:val="0"/>
          <w:color w:val="auto"/>
        </w:rPr>
        <w:t>品牌产品，直流回路采用低感叠层母排，</w:t>
      </w:r>
      <w:r>
        <w:rPr>
          <w:rFonts w:ascii="宋体" w:hAnsi="宋体" w:eastAsia="宋体"/>
          <w:bCs w:val="0"/>
          <w:color w:val="auto"/>
        </w:rPr>
        <w:t>其他</w:t>
      </w:r>
      <w:r>
        <w:rPr>
          <w:rFonts w:hint="eastAsia" w:ascii="宋体" w:hAnsi="宋体" w:eastAsia="宋体"/>
          <w:bCs w:val="0"/>
          <w:color w:val="auto"/>
        </w:rPr>
        <w:t>均应</w:t>
      </w:r>
      <w:r>
        <w:rPr>
          <w:rFonts w:ascii="宋体" w:hAnsi="宋体" w:eastAsia="宋体"/>
          <w:bCs w:val="0"/>
          <w:color w:val="auto"/>
        </w:rPr>
        <w:t>采用优质器件。</w:t>
      </w:r>
    </w:p>
    <w:p>
      <w:pPr>
        <w:pStyle w:val="7"/>
        <w:ind w:firstLine="560" w:firstLineChars="200"/>
        <w:rPr>
          <w:rFonts w:ascii="宋体" w:hAnsi="宋体" w:eastAsia="宋体"/>
          <w:bCs w:val="0"/>
          <w:color w:val="auto"/>
        </w:rPr>
      </w:pPr>
      <w:r>
        <w:rPr>
          <w:rFonts w:hint="eastAsia" w:ascii="宋体" w:hAnsi="宋体" w:eastAsia="宋体"/>
          <w:bCs w:val="0"/>
          <w:color w:val="auto"/>
        </w:rPr>
        <w:t>为保证设备启动转矩和提高供电系统功率因数，变频器采用交-直-交电压源型结构。</w:t>
      </w:r>
    </w:p>
    <w:p>
      <w:pPr>
        <w:pStyle w:val="7"/>
        <w:ind w:firstLine="560" w:firstLineChars="200"/>
        <w:rPr>
          <w:rFonts w:ascii="宋体" w:hAnsi="宋体" w:eastAsia="宋体"/>
          <w:bCs w:val="0"/>
          <w:color w:val="auto"/>
        </w:rPr>
      </w:pPr>
      <w:r>
        <w:rPr>
          <w:rFonts w:hint="eastAsia" w:ascii="宋体" w:hAnsi="宋体" w:eastAsia="宋体"/>
          <w:bCs w:val="0"/>
          <w:color w:val="auto"/>
          <w:highlight w:val="yellow"/>
        </w:rPr>
        <w:t>具有软件核心代码，产品永久免费升级。</w:t>
      </w:r>
    </w:p>
    <w:p>
      <w:pPr>
        <w:pStyle w:val="7"/>
        <w:ind w:firstLine="560" w:firstLineChars="200"/>
        <w:rPr>
          <w:rFonts w:ascii="宋体" w:hAnsi="宋体" w:eastAsia="宋体"/>
          <w:bCs w:val="0"/>
          <w:color w:val="auto"/>
        </w:rPr>
      </w:pPr>
      <w:r>
        <w:rPr>
          <w:rFonts w:hint="eastAsia" w:ascii="宋体" w:hAnsi="宋体" w:eastAsia="宋体"/>
          <w:bCs w:val="0"/>
          <w:color w:val="auto"/>
        </w:rPr>
        <w:t>满足设备各种运行工况的要求，包括软启动、控制变速或定速带载运行、正常停机以及紧急停机等。</w:t>
      </w:r>
    </w:p>
    <w:p>
      <w:pPr>
        <w:pStyle w:val="7"/>
        <w:ind w:firstLine="560" w:firstLineChars="200"/>
        <w:rPr>
          <w:rFonts w:ascii="宋体" w:hAnsi="宋体" w:eastAsia="宋体"/>
          <w:bCs w:val="0"/>
          <w:color w:val="auto"/>
        </w:rPr>
      </w:pPr>
      <w:r>
        <w:rPr>
          <w:rFonts w:hint="eastAsia" w:ascii="宋体" w:hAnsi="宋体" w:eastAsia="宋体"/>
          <w:bCs w:val="0"/>
          <w:color w:val="auto"/>
        </w:rPr>
        <w:t>变频器主回路采用IGBT三电平拓扑结构，直流回路采用无感设计，提高系统抗干扰能力。</w:t>
      </w:r>
    </w:p>
    <w:p>
      <w:pPr>
        <w:pStyle w:val="7"/>
        <w:ind w:firstLine="560" w:firstLineChars="200"/>
        <w:rPr>
          <w:rFonts w:ascii="宋体" w:hAnsi="宋体" w:eastAsia="宋体"/>
          <w:bCs w:val="0"/>
          <w:color w:val="auto"/>
        </w:rPr>
      </w:pPr>
      <w:r>
        <w:rPr>
          <w:rFonts w:hint="eastAsia" w:ascii="宋体" w:hAnsi="宋体" w:eastAsia="宋体"/>
          <w:bCs w:val="0"/>
          <w:color w:val="auto"/>
        </w:rPr>
        <w:t>采用模块化结构设计，模块之间连接设计，快捷、方便。</w:t>
      </w:r>
    </w:p>
    <w:p>
      <w:pPr>
        <w:pStyle w:val="7"/>
        <w:ind w:firstLine="560" w:firstLineChars="200"/>
        <w:rPr>
          <w:rFonts w:ascii="宋体" w:hAnsi="宋体" w:eastAsia="宋体"/>
          <w:bCs w:val="0"/>
          <w:color w:val="auto"/>
        </w:rPr>
      </w:pPr>
      <w:r>
        <w:rPr>
          <w:rFonts w:hint="eastAsia" w:ascii="宋体" w:hAnsi="宋体" w:eastAsia="宋体"/>
          <w:bCs w:val="0"/>
          <w:color w:val="auto"/>
        </w:rPr>
        <w:t>为方便运输和设备布置，</w:t>
      </w:r>
      <w:r>
        <w:rPr>
          <w:rFonts w:ascii="宋体" w:hAnsi="宋体" w:eastAsia="宋体"/>
          <w:bCs w:val="0"/>
          <w:color w:val="auto"/>
        </w:rPr>
        <w:t>变频器采用一体化结构设计，即</w:t>
      </w:r>
      <w:r>
        <w:rPr>
          <w:rFonts w:hint="eastAsia" w:ascii="宋体" w:hAnsi="宋体" w:eastAsia="宋体"/>
          <w:bCs w:val="0"/>
          <w:color w:val="auto"/>
        </w:rPr>
        <w:t>整流</w:t>
      </w:r>
      <w:r>
        <w:rPr>
          <w:rFonts w:ascii="宋体" w:hAnsi="宋体" w:eastAsia="宋体"/>
          <w:bCs w:val="0"/>
          <w:color w:val="auto"/>
        </w:rPr>
        <w:t>、逆变、滤波</w:t>
      </w:r>
      <w:r>
        <w:rPr>
          <w:rFonts w:hint="eastAsia" w:ascii="宋体" w:hAnsi="宋体" w:eastAsia="宋体"/>
          <w:bCs w:val="0"/>
          <w:color w:val="auto"/>
        </w:rPr>
        <w:t>部分</w:t>
      </w:r>
      <w:r>
        <w:rPr>
          <w:rFonts w:ascii="宋体" w:hAnsi="宋体" w:eastAsia="宋体"/>
          <w:bCs w:val="0"/>
          <w:color w:val="auto"/>
        </w:rPr>
        <w:t>在一个壳体内。</w:t>
      </w:r>
    </w:p>
    <w:p>
      <w:pPr>
        <w:pStyle w:val="7"/>
        <w:ind w:firstLine="560" w:firstLineChars="200"/>
        <w:rPr>
          <w:rFonts w:ascii="宋体" w:hAnsi="宋体" w:eastAsia="宋体"/>
          <w:bCs w:val="0"/>
          <w:color w:val="auto"/>
        </w:rPr>
      </w:pPr>
      <w:r>
        <w:rPr>
          <w:rFonts w:hint="eastAsia" w:ascii="宋体" w:hAnsi="宋体" w:eastAsia="宋体"/>
          <w:bCs w:val="0"/>
          <w:color w:val="auto"/>
        </w:rPr>
        <w:t>采用7寸全中文本安触摸显示屏，能够显示变频器电流、电压、频率、温度等参数、报警值等信息，可通过触摸屏完成各种设置与操作。</w:t>
      </w:r>
    </w:p>
    <w:p>
      <w:pPr>
        <w:pStyle w:val="7"/>
        <w:ind w:firstLine="560" w:firstLineChars="200"/>
        <w:rPr>
          <w:rFonts w:ascii="宋体" w:hAnsi="宋体" w:eastAsia="宋体"/>
          <w:bCs w:val="0"/>
          <w:color w:val="auto"/>
        </w:rPr>
      </w:pPr>
      <w:r>
        <w:rPr>
          <w:rFonts w:hint="eastAsia" w:ascii="宋体" w:hAnsi="宋体" w:eastAsia="宋体"/>
          <w:bCs w:val="0"/>
          <w:color w:val="auto"/>
        </w:rPr>
        <w:t>具有多路模拟量和数字量I/O接口,可方便地完成对外部的控制功能及接收外部控制信号。</w:t>
      </w:r>
    </w:p>
    <w:p>
      <w:pPr>
        <w:pStyle w:val="7"/>
        <w:ind w:firstLine="560" w:firstLineChars="200"/>
        <w:rPr>
          <w:rFonts w:ascii="宋体" w:hAnsi="宋体" w:eastAsia="宋体"/>
          <w:bCs w:val="0"/>
          <w:color w:val="auto"/>
        </w:rPr>
      </w:pPr>
      <w:r>
        <w:rPr>
          <w:rFonts w:hint="eastAsia" w:ascii="宋体" w:hAnsi="宋体" w:eastAsia="宋体"/>
          <w:bCs w:val="0"/>
          <w:color w:val="auto"/>
        </w:rPr>
        <w:t>具备多种控制方式。就地控制：外置操作键盘，可方便的对设备进行参数设置，设有启动、停止、紧急停车、复位等按钮。远控：通过RS485通信总线等网络接口，变频器接受集控中心指令，反馈集控中心所采集的数据。</w:t>
      </w:r>
    </w:p>
    <w:p>
      <w:pPr>
        <w:pStyle w:val="7"/>
        <w:ind w:firstLine="560" w:firstLineChars="200"/>
        <w:rPr>
          <w:rFonts w:ascii="宋体" w:hAnsi="宋体" w:eastAsia="宋体"/>
          <w:bCs w:val="0"/>
          <w:color w:val="auto"/>
        </w:rPr>
      </w:pPr>
      <w:r>
        <w:rPr>
          <w:rFonts w:hint="eastAsia" w:ascii="宋体" w:hAnsi="宋体" w:eastAsia="宋体"/>
          <w:bCs w:val="0"/>
          <w:color w:val="auto"/>
        </w:rPr>
        <w:t>具有对旋风机、及主、备风机相互自动切换的全部控制功能；可分别对主、备对旋风机的单电机、双电机的所需工作进行自由选择；</w:t>
      </w:r>
    </w:p>
    <w:p>
      <w:pPr>
        <w:pStyle w:val="7"/>
        <w:ind w:firstLine="560" w:firstLineChars="200"/>
        <w:rPr>
          <w:rFonts w:ascii="宋体" w:hAnsi="宋体" w:eastAsia="宋体"/>
          <w:bCs w:val="0"/>
          <w:color w:val="auto"/>
        </w:rPr>
      </w:pPr>
      <w:r>
        <w:rPr>
          <w:rFonts w:hint="eastAsia" w:ascii="宋体" w:hAnsi="宋体" w:eastAsia="宋体"/>
          <w:bCs w:val="0"/>
          <w:color w:val="auto"/>
        </w:rPr>
        <w:t>当主机因故障停止运行时,备机自动投入运行；同理备机因故障停止时,主机自动投入运行，具备主机、备机相互自动切换功能；</w:t>
      </w:r>
    </w:p>
    <w:p>
      <w:pPr>
        <w:pStyle w:val="7"/>
        <w:ind w:firstLine="560" w:firstLineChars="200"/>
        <w:rPr>
          <w:rFonts w:ascii="宋体" w:hAnsi="宋体" w:eastAsia="宋体"/>
          <w:bCs w:val="0"/>
          <w:color w:val="auto"/>
        </w:rPr>
      </w:pPr>
      <w:r>
        <w:rPr>
          <w:rFonts w:hint="eastAsia" w:ascii="宋体" w:hAnsi="宋体" w:eastAsia="宋体"/>
          <w:bCs w:val="0"/>
          <w:color w:val="auto"/>
        </w:rPr>
        <w:t>采用快开门结构、方便部件的更换与维修及应急处理；</w:t>
      </w:r>
    </w:p>
    <w:p>
      <w:pPr>
        <w:pStyle w:val="7"/>
        <w:ind w:firstLine="560" w:firstLineChars="200"/>
        <w:rPr>
          <w:rFonts w:ascii="宋体" w:hAnsi="宋体" w:eastAsia="宋体"/>
          <w:bCs w:val="0"/>
          <w:color w:val="auto"/>
        </w:rPr>
      </w:pPr>
      <w:r>
        <w:rPr>
          <w:rFonts w:hint="eastAsia" w:ascii="宋体" w:hAnsi="宋体" w:eastAsia="宋体"/>
          <w:bCs w:val="0"/>
          <w:color w:val="auto"/>
        </w:rPr>
        <w:t>2.2.2接口功能：</w:t>
      </w:r>
    </w:p>
    <w:p>
      <w:pPr>
        <w:pStyle w:val="7"/>
        <w:ind w:firstLine="560" w:firstLineChars="200"/>
        <w:rPr>
          <w:rFonts w:ascii="宋体" w:hAnsi="宋体" w:eastAsia="宋体"/>
          <w:bCs w:val="0"/>
          <w:color w:val="auto"/>
        </w:rPr>
      </w:pPr>
      <w:r>
        <w:rPr>
          <w:rFonts w:hint="eastAsia" w:ascii="宋体" w:hAnsi="宋体" w:eastAsia="宋体"/>
          <w:bCs w:val="0"/>
          <w:color w:val="auto"/>
        </w:rPr>
        <w:t>（1）配有RS485串行通信接口，组自动化网络使用。风机开关的数据可以上传；可在远方对风机开关进行操作。投标厂家免费提供RS485通信接口通信协议及数据点表,开放相应的通讯接口、数据及远程控制权限。</w:t>
      </w:r>
    </w:p>
    <w:p>
      <w:pPr>
        <w:pStyle w:val="7"/>
        <w:ind w:firstLine="560" w:firstLineChars="200"/>
        <w:rPr>
          <w:rFonts w:ascii="宋体" w:hAnsi="宋体" w:eastAsia="宋体"/>
          <w:bCs w:val="0"/>
          <w:color w:val="auto"/>
        </w:rPr>
      </w:pPr>
      <w:r>
        <w:rPr>
          <w:rFonts w:hint="eastAsia" w:ascii="宋体" w:hAnsi="宋体" w:eastAsia="宋体"/>
          <w:bCs w:val="0"/>
          <w:color w:val="auto"/>
        </w:rPr>
        <w:t>（2）具备风电闭锁功能，接线方便。用于本风机开关与馈电开关组成联控，当风机开关正常工作时馈电开关才能正常起动工作；当风机开关因故跳闸时馈电开关就会自动跳闸断电。</w:t>
      </w:r>
    </w:p>
    <w:p>
      <w:pPr>
        <w:pStyle w:val="7"/>
        <w:ind w:firstLine="560" w:firstLineChars="200"/>
        <w:rPr>
          <w:rFonts w:ascii="宋体" w:hAnsi="宋体" w:eastAsia="宋体"/>
          <w:bCs w:val="0"/>
          <w:color w:val="auto"/>
        </w:rPr>
      </w:pPr>
      <w:r>
        <w:rPr>
          <w:rFonts w:hint="eastAsia" w:ascii="宋体" w:hAnsi="宋体" w:eastAsia="宋体"/>
          <w:bCs w:val="0"/>
          <w:color w:val="auto"/>
        </w:rPr>
        <w:t>（3）具备瓦斯电闭锁功能，接线方便。用于本风机开关与瓦斯断电仪组成联控，当瓦斯断电仪正常工作时本风机开关才能正常起动工作；当瓦斯断电仪因故跳闸时本风机开关就会自动跳闸断电。</w:t>
      </w:r>
    </w:p>
    <w:p>
      <w:pPr>
        <w:pStyle w:val="7"/>
        <w:ind w:firstLine="560" w:firstLineChars="200"/>
        <w:rPr>
          <w:rFonts w:ascii="宋体" w:hAnsi="宋体" w:eastAsia="宋体"/>
          <w:bCs w:val="0"/>
          <w:color w:val="auto"/>
        </w:rPr>
      </w:pPr>
      <w:r>
        <w:rPr>
          <w:rFonts w:hint="eastAsia" w:ascii="宋体" w:hAnsi="宋体" w:eastAsia="宋体"/>
          <w:bCs w:val="0"/>
          <w:color w:val="auto"/>
        </w:rPr>
        <w:t>主电源断电恢复后，变频器原设定参数不变。</w:t>
      </w:r>
    </w:p>
    <w:p>
      <w:pPr>
        <w:pStyle w:val="7"/>
        <w:ind w:firstLine="560" w:firstLineChars="200"/>
        <w:rPr>
          <w:rFonts w:ascii="宋体" w:hAnsi="宋体" w:eastAsia="宋体"/>
          <w:bCs w:val="0"/>
          <w:color w:val="auto"/>
        </w:rPr>
      </w:pPr>
      <w:r>
        <w:rPr>
          <w:rFonts w:hint="eastAsia" w:ascii="宋体" w:hAnsi="宋体" w:eastAsia="宋体"/>
          <w:bCs w:val="0"/>
          <w:color w:val="auto"/>
        </w:rPr>
        <w:t>主要保护功能：欠压保护、过压保护、短路保护、缺相保护、瞬时断电保护、接地故障保护、过载保护、通信故障保护、功率器件的过热保护等，保护性能应符合产品标准的规定。具有故障报警、记忆，可保存最近三个月的故障信息及运行参数。并进入集控系统予以监测。</w:t>
      </w:r>
    </w:p>
    <w:p>
      <w:pPr>
        <w:pStyle w:val="7"/>
        <w:ind w:firstLine="560" w:firstLineChars="200"/>
        <w:rPr>
          <w:rFonts w:ascii="宋体" w:hAnsi="宋体" w:eastAsia="宋体"/>
          <w:bCs w:val="0"/>
          <w:color w:val="auto"/>
        </w:rPr>
      </w:pPr>
      <w:r>
        <w:rPr>
          <w:rFonts w:hint="eastAsia" w:ascii="宋体" w:hAnsi="宋体" w:eastAsia="宋体"/>
          <w:bCs w:val="0"/>
          <w:color w:val="auto"/>
        </w:rPr>
        <w:t>变频器的故障自诊断功能：变频器具有开机自检功能，可以方便的诊断出当前状态是否正常，并能在显示屏上显示故障代码；能够明确指示故障信息并提供故障解决措施，故障不排除，不能合闸。</w:t>
      </w:r>
    </w:p>
    <w:p>
      <w:pPr>
        <w:pStyle w:val="7"/>
        <w:ind w:firstLine="560" w:firstLineChars="200"/>
        <w:rPr>
          <w:rFonts w:ascii="宋体" w:hAnsi="宋体" w:eastAsia="宋体"/>
          <w:bCs w:val="0"/>
          <w:color w:val="auto"/>
        </w:rPr>
      </w:pPr>
      <w:r>
        <w:rPr>
          <w:rFonts w:hint="eastAsia" w:ascii="宋体" w:hAnsi="宋体" w:eastAsia="宋体"/>
          <w:bCs w:val="0"/>
          <w:color w:val="auto"/>
        </w:rPr>
        <w:t>设计满足IEC61800.3-2004（可调速电力传动系统第3部分电磁兼容要求和特定试验方法）及GB/T14549-1993（电能质量公用电网谐波）标准中关于谐波含量及EMC电磁兼容的要求，并通过相关部门测试。</w:t>
      </w:r>
    </w:p>
    <w:p>
      <w:pPr>
        <w:pStyle w:val="7"/>
        <w:ind w:firstLine="560" w:firstLineChars="200"/>
        <w:rPr>
          <w:rFonts w:ascii="宋体" w:hAnsi="宋体" w:eastAsia="宋体"/>
          <w:bCs w:val="0"/>
          <w:color w:val="auto"/>
        </w:rPr>
      </w:pPr>
      <w:r>
        <w:rPr>
          <w:rFonts w:hint="eastAsia" w:ascii="宋体" w:hAnsi="宋体" w:eastAsia="宋体"/>
          <w:bCs w:val="0"/>
          <w:color w:val="auto"/>
        </w:rPr>
        <w:t>输入和输出电缆进出箱体采用喇叭口直接压线连接。</w:t>
      </w:r>
    </w:p>
    <w:p>
      <w:pPr>
        <w:pStyle w:val="7"/>
        <w:ind w:firstLine="560" w:firstLineChars="200"/>
        <w:rPr>
          <w:rFonts w:ascii="宋体" w:hAnsi="宋体" w:eastAsia="宋体"/>
          <w:bCs w:val="0"/>
          <w:color w:val="auto"/>
        </w:rPr>
      </w:pPr>
      <w:r>
        <w:rPr>
          <w:rFonts w:hint="eastAsia" w:ascii="宋体" w:hAnsi="宋体" w:eastAsia="宋体"/>
          <w:bCs w:val="0"/>
          <w:color w:val="auto"/>
        </w:rPr>
        <w:t>变频器壳体及内部支架机械结构应有足够的强度，满足安装运输要求。</w:t>
      </w:r>
    </w:p>
    <w:p>
      <w:pPr>
        <w:pStyle w:val="7"/>
        <w:ind w:firstLine="560" w:firstLineChars="200"/>
        <w:rPr>
          <w:rFonts w:ascii="宋体" w:hAnsi="宋体" w:eastAsia="宋体"/>
          <w:bCs w:val="0"/>
          <w:color w:val="auto"/>
        </w:rPr>
      </w:pPr>
      <w:r>
        <w:rPr>
          <w:rFonts w:hint="eastAsia" w:ascii="宋体" w:hAnsi="宋体" w:eastAsia="宋体"/>
          <w:bCs w:val="0"/>
          <w:color w:val="auto"/>
        </w:rPr>
        <w:t>配套电机功率：2*37-45kW矿用防爆压入式对旋轴流局部通风机。</w:t>
      </w:r>
    </w:p>
    <w:p>
      <w:pPr>
        <w:pStyle w:val="7"/>
        <w:ind w:firstLine="560" w:firstLineChars="200"/>
        <w:rPr>
          <w:rFonts w:ascii="宋体" w:hAnsi="宋体" w:eastAsia="宋体"/>
          <w:bCs w:val="0"/>
          <w:color w:val="auto"/>
        </w:rPr>
      </w:pPr>
      <w:r>
        <w:rPr>
          <w:rFonts w:hint="eastAsia" w:ascii="宋体" w:hAnsi="宋体" w:eastAsia="宋体"/>
          <w:bCs w:val="0"/>
          <w:color w:val="auto"/>
        </w:rPr>
        <w:t>2.2.3控制要求：</w:t>
      </w:r>
    </w:p>
    <w:p>
      <w:pPr>
        <w:pStyle w:val="7"/>
        <w:ind w:firstLine="560" w:firstLineChars="200"/>
        <w:rPr>
          <w:rFonts w:ascii="宋体" w:hAnsi="宋体" w:eastAsia="宋体"/>
          <w:bCs w:val="0"/>
          <w:color w:val="auto"/>
        </w:rPr>
      </w:pPr>
      <w:bookmarkStart w:id="0" w:name="_Hlk63496464"/>
      <w:r>
        <w:rPr>
          <w:rFonts w:hint="eastAsia" w:ascii="宋体" w:hAnsi="宋体" w:eastAsia="宋体"/>
          <w:bCs w:val="0"/>
          <w:color w:val="auto"/>
        </w:rPr>
        <w:t>（1）</w:t>
      </w:r>
      <w:bookmarkEnd w:id="0"/>
      <w:r>
        <w:rPr>
          <w:rFonts w:hint="eastAsia" w:ascii="宋体" w:hAnsi="宋体" w:eastAsia="宋体"/>
          <w:bCs w:val="0"/>
          <w:color w:val="auto"/>
        </w:rPr>
        <w:t>变频器实现零速满转矩，在30～50Hz低频启动过程中，可以最大输出电机额定转矩的2倍，保证设备在重载启动条件下均能顺利启动，对电机100%控制；</w:t>
      </w:r>
    </w:p>
    <w:p>
      <w:pPr>
        <w:pStyle w:val="7"/>
        <w:ind w:firstLine="560" w:firstLineChars="200"/>
        <w:rPr>
          <w:rFonts w:ascii="宋体" w:hAnsi="宋体" w:eastAsia="宋体"/>
          <w:bCs w:val="0"/>
          <w:color w:val="auto"/>
        </w:rPr>
      </w:pPr>
      <w:r>
        <w:rPr>
          <w:rFonts w:hint="eastAsia" w:ascii="宋体" w:hAnsi="宋体" w:eastAsia="宋体"/>
          <w:bCs w:val="0"/>
          <w:color w:val="auto"/>
        </w:rPr>
        <w:t>（</w:t>
      </w:r>
      <w:r>
        <w:rPr>
          <w:rFonts w:ascii="宋体" w:hAnsi="宋体" w:eastAsia="宋体"/>
          <w:bCs w:val="0"/>
          <w:color w:val="auto"/>
        </w:rPr>
        <w:t>2</w:t>
      </w:r>
      <w:r>
        <w:rPr>
          <w:rFonts w:hint="eastAsia" w:ascii="宋体" w:hAnsi="宋体" w:eastAsia="宋体"/>
          <w:bCs w:val="0"/>
          <w:color w:val="auto"/>
        </w:rPr>
        <w:t>）变频器采用软启动驱动方式，消除启动过程中对设备的冲击。在设备运行过程中，变频器根据负载情况，自动调整输出转矩，控制各个电机的转速，保证设备不发生过载的情况；</w:t>
      </w:r>
    </w:p>
    <w:p>
      <w:pPr>
        <w:pStyle w:val="7"/>
        <w:ind w:firstLine="560" w:firstLineChars="200"/>
        <w:rPr>
          <w:rFonts w:ascii="宋体" w:hAnsi="宋体" w:eastAsia="宋体"/>
          <w:bCs w:val="0"/>
          <w:color w:val="auto"/>
        </w:rPr>
      </w:pPr>
      <w:r>
        <w:rPr>
          <w:rFonts w:hint="eastAsia" w:ascii="宋体" w:hAnsi="宋体" w:eastAsia="宋体"/>
          <w:bCs w:val="0"/>
          <w:color w:val="auto"/>
        </w:rPr>
        <w:t>（</w:t>
      </w:r>
      <w:r>
        <w:rPr>
          <w:rFonts w:ascii="宋体" w:hAnsi="宋体" w:eastAsia="宋体"/>
          <w:bCs w:val="0"/>
          <w:color w:val="auto"/>
        </w:rPr>
        <w:t>3</w:t>
      </w:r>
      <w:r>
        <w:rPr>
          <w:rFonts w:hint="eastAsia" w:ascii="宋体" w:hAnsi="宋体" w:eastAsia="宋体"/>
          <w:bCs w:val="0"/>
          <w:color w:val="auto"/>
        </w:rPr>
        <w:t>）转矩和速度控制精确平滑，减少对负载机械的冲击；</w:t>
      </w:r>
    </w:p>
    <w:p>
      <w:pPr>
        <w:pStyle w:val="7"/>
        <w:ind w:firstLine="560" w:firstLineChars="200"/>
        <w:rPr>
          <w:rFonts w:ascii="宋体" w:hAnsi="宋体" w:eastAsia="宋体"/>
          <w:bCs w:val="0"/>
          <w:color w:val="auto"/>
        </w:rPr>
      </w:pPr>
      <w:r>
        <w:rPr>
          <w:rFonts w:hint="eastAsia" w:ascii="宋体" w:hAnsi="宋体" w:eastAsia="宋体"/>
          <w:bCs w:val="0"/>
          <w:color w:val="auto"/>
        </w:rPr>
        <w:t>（</w:t>
      </w:r>
      <w:r>
        <w:rPr>
          <w:rFonts w:ascii="宋体" w:hAnsi="宋体" w:eastAsia="宋体"/>
          <w:bCs w:val="0"/>
          <w:color w:val="auto"/>
        </w:rPr>
        <w:t>4</w:t>
      </w:r>
      <w:r>
        <w:rPr>
          <w:rFonts w:hint="eastAsia" w:ascii="宋体" w:hAnsi="宋体" w:eastAsia="宋体"/>
          <w:bCs w:val="0"/>
          <w:color w:val="auto"/>
        </w:rPr>
        <w:t>）在0～100%调速范围内，变频器输入侧的功率因数不小于0.9；</w:t>
      </w:r>
    </w:p>
    <w:p>
      <w:pPr>
        <w:pStyle w:val="7"/>
        <w:ind w:firstLine="560" w:firstLineChars="200"/>
        <w:rPr>
          <w:rFonts w:ascii="宋体" w:hAnsi="宋体" w:eastAsia="宋体"/>
          <w:bCs w:val="0"/>
          <w:color w:val="auto"/>
        </w:rPr>
      </w:pPr>
      <w:r>
        <w:rPr>
          <w:rFonts w:hint="eastAsia" w:ascii="宋体" w:hAnsi="宋体" w:eastAsia="宋体"/>
          <w:bCs w:val="0"/>
          <w:color w:val="auto"/>
        </w:rPr>
        <w:t>（</w:t>
      </w:r>
      <w:r>
        <w:rPr>
          <w:rFonts w:ascii="宋体" w:hAnsi="宋体" w:eastAsia="宋体"/>
          <w:bCs w:val="0"/>
          <w:color w:val="auto"/>
        </w:rPr>
        <w:t>5</w:t>
      </w:r>
      <w:r>
        <w:rPr>
          <w:rFonts w:hint="eastAsia" w:ascii="宋体" w:hAnsi="宋体" w:eastAsia="宋体"/>
          <w:bCs w:val="0"/>
          <w:color w:val="auto"/>
        </w:rPr>
        <w:t>）变频器输出频率分辨率≤0.1Hz。</w:t>
      </w:r>
    </w:p>
    <w:p>
      <w:pPr>
        <w:snapToGrid w:val="0"/>
        <w:spacing w:line="360" w:lineRule="auto"/>
        <w:rPr>
          <w:rFonts w:ascii="宋体" w:hAnsi="宋体" w:cs="宋体"/>
          <w:b/>
          <w:kern w:val="0"/>
          <w:sz w:val="28"/>
        </w:rPr>
      </w:pPr>
      <w:r>
        <w:rPr>
          <w:rFonts w:hint="eastAsia" w:ascii="宋体" w:hAnsi="宋体" w:cs="宋体"/>
          <w:b/>
          <w:kern w:val="0"/>
          <w:sz w:val="28"/>
        </w:rPr>
        <w:t>2.3电缆</w:t>
      </w:r>
    </w:p>
    <w:p>
      <w:pPr>
        <w:pStyle w:val="7"/>
        <w:ind w:firstLine="560" w:firstLineChars="200"/>
        <w:rPr>
          <w:rFonts w:ascii="宋体" w:hAnsi="宋体" w:eastAsia="宋体"/>
          <w:bCs w:val="0"/>
          <w:color w:val="auto"/>
        </w:rPr>
      </w:pPr>
      <w:r>
        <w:rPr>
          <w:rFonts w:hint="eastAsia" w:ascii="宋体" w:hAnsi="宋体" w:eastAsia="宋体"/>
          <w:bCs w:val="0"/>
          <w:color w:val="auto"/>
        </w:rPr>
        <w:t>电缆（MYP0.66/1140-3*25+1*10）  1500米</w:t>
      </w:r>
    </w:p>
    <w:p>
      <w:pPr>
        <w:spacing w:line="360" w:lineRule="auto"/>
        <w:ind w:firstLine="490" w:firstLineChars="175"/>
        <w:rPr>
          <w:rFonts w:ascii="宋体" w:hAnsi="宋体"/>
          <w:sz w:val="28"/>
        </w:rPr>
      </w:pPr>
      <w:r>
        <w:rPr>
          <w:rFonts w:hint="eastAsia" w:ascii="宋体" w:hAnsi="宋体"/>
          <w:sz w:val="28"/>
        </w:rPr>
        <w:t>2.3.1、执行标准：MT818.5-2009。</w:t>
      </w:r>
    </w:p>
    <w:p>
      <w:pPr>
        <w:spacing w:line="360" w:lineRule="auto"/>
        <w:ind w:firstLine="490" w:firstLineChars="175"/>
        <w:rPr>
          <w:rFonts w:ascii="宋体" w:hAnsi="宋体"/>
          <w:sz w:val="28"/>
        </w:rPr>
      </w:pPr>
      <w:r>
        <w:rPr>
          <w:rFonts w:hint="eastAsia" w:ascii="宋体" w:hAnsi="宋体"/>
          <w:sz w:val="28"/>
        </w:rPr>
        <w:t>2.3.2、用途：适用于额定电压为660/1140V的设备装置作连接电源线路用。</w:t>
      </w:r>
    </w:p>
    <w:p>
      <w:pPr>
        <w:spacing w:line="360" w:lineRule="auto"/>
        <w:ind w:firstLine="490" w:firstLineChars="175"/>
        <w:rPr>
          <w:rFonts w:ascii="宋体" w:hAnsi="宋体"/>
          <w:sz w:val="28"/>
        </w:rPr>
      </w:pPr>
      <w:r>
        <w:rPr>
          <w:rFonts w:hint="eastAsia" w:ascii="宋体" w:hAnsi="宋体"/>
          <w:sz w:val="28"/>
        </w:rPr>
        <w:t>2.3.3、工作条件：电缆导体的长期工作温度不低于65℃。</w:t>
      </w:r>
    </w:p>
    <w:p>
      <w:pPr>
        <w:spacing w:line="360" w:lineRule="auto"/>
        <w:ind w:firstLine="490" w:firstLineChars="175"/>
        <w:rPr>
          <w:rFonts w:ascii="宋体" w:hAnsi="宋体"/>
          <w:sz w:val="28"/>
        </w:rPr>
      </w:pPr>
      <w:r>
        <w:rPr>
          <w:rFonts w:hint="eastAsia" w:ascii="宋体" w:hAnsi="宋体"/>
          <w:sz w:val="28"/>
        </w:rPr>
        <w:t>2.3.4、绝缘厚度平均不小于2.2mm。</w:t>
      </w:r>
    </w:p>
    <w:p>
      <w:pPr>
        <w:spacing w:line="360" w:lineRule="auto"/>
        <w:ind w:firstLine="490" w:firstLineChars="175"/>
        <w:rPr>
          <w:rFonts w:ascii="宋体" w:hAnsi="宋体"/>
          <w:sz w:val="28"/>
        </w:rPr>
      </w:pPr>
      <w:r>
        <w:rPr>
          <w:rFonts w:hint="eastAsia" w:ascii="宋体" w:hAnsi="宋体"/>
          <w:sz w:val="28"/>
        </w:rPr>
        <w:t>2.3.5、护套厚度平均不小于5mm。</w:t>
      </w:r>
    </w:p>
    <w:p>
      <w:pPr>
        <w:spacing w:line="360" w:lineRule="auto"/>
        <w:ind w:firstLine="490" w:firstLineChars="175"/>
        <w:rPr>
          <w:rFonts w:ascii="宋体" w:hAnsi="宋体"/>
          <w:sz w:val="28"/>
        </w:rPr>
      </w:pPr>
      <w:r>
        <w:rPr>
          <w:rFonts w:hint="eastAsia" w:ascii="宋体" w:hAnsi="宋体"/>
          <w:sz w:val="28"/>
        </w:rPr>
        <w:t>2.3.6、电缆外径平均不小于48mm。</w:t>
      </w:r>
    </w:p>
    <w:p>
      <w:pPr>
        <w:spacing w:line="360" w:lineRule="auto"/>
        <w:ind w:firstLine="490" w:firstLineChars="175"/>
        <w:rPr>
          <w:rFonts w:ascii="宋体" w:hAnsi="宋体"/>
          <w:sz w:val="28"/>
        </w:rPr>
      </w:pPr>
      <w:r>
        <w:rPr>
          <w:rFonts w:hint="eastAsia" w:ascii="宋体" w:hAnsi="宋体"/>
          <w:sz w:val="28"/>
        </w:rPr>
        <w:t>2.3.7、出厂前必须做交流耐压试验，至少3.7KV5min不被击穿。</w:t>
      </w:r>
    </w:p>
    <w:p>
      <w:pPr>
        <w:spacing w:line="360" w:lineRule="auto"/>
        <w:ind w:firstLine="490" w:firstLineChars="175"/>
        <w:rPr>
          <w:rFonts w:ascii="宋体" w:hAnsi="宋体"/>
          <w:sz w:val="28"/>
        </w:rPr>
      </w:pPr>
      <w:r>
        <w:rPr>
          <w:rFonts w:hint="eastAsia" w:ascii="宋体" w:hAnsi="宋体"/>
          <w:sz w:val="28"/>
        </w:rPr>
        <w:t>2.3.8、导体电阻试验：20℃时导体直流电阻不大于0.386Ω/km。</w:t>
      </w:r>
    </w:p>
    <w:p>
      <w:pPr>
        <w:spacing w:line="360" w:lineRule="auto"/>
        <w:ind w:firstLine="490" w:firstLineChars="175"/>
        <w:rPr>
          <w:rFonts w:ascii="宋体" w:hAnsi="宋体"/>
          <w:sz w:val="28"/>
        </w:rPr>
      </w:pPr>
      <w:r>
        <w:rPr>
          <w:rFonts w:hint="eastAsia" w:ascii="宋体" w:hAnsi="宋体"/>
          <w:sz w:val="28"/>
        </w:rPr>
        <w:t>2.3.9、绝缘电阻试验：20℃时绝缘电阻不小于250MΩ· km。</w:t>
      </w:r>
    </w:p>
    <w:p>
      <w:pPr>
        <w:spacing w:line="360" w:lineRule="auto"/>
        <w:ind w:firstLine="490" w:firstLineChars="175"/>
        <w:rPr>
          <w:rFonts w:ascii="宋体" w:hAnsi="宋体"/>
          <w:sz w:val="28"/>
        </w:rPr>
      </w:pPr>
      <w:r>
        <w:rPr>
          <w:rFonts w:hint="eastAsia" w:ascii="宋体" w:hAnsi="宋体"/>
          <w:sz w:val="28"/>
        </w:rPr>
        <w:t>2.3.10、过渡电阻试验：过渡电阻不大于3kΩ 。</w:t>
      </w:r>
    </w:p>
    <w:p>
      <w:pPr>
        <w:spacing w:line="360" w:lineRule="auto"/>
        <w:ind w:firstLine="490" w:firstLineChars="175"/>
        <w:rPr>
          <w:rFonts w:ascii="宋体" w:hAnsi="宋体"/>
          <w:sz w:val="28"/>
        </w:rPr>
      </w:pPr>
      <w:r>
        <w:rPr>
          <w:rFonts w:hint="eastAsia" w:ascii="宋体" w:hAnsi="宋体"/>
          <w:sz w:val="28"/>
        </w:rPr>
        <w:t>2.3.11、线芯识别：采用绝缘分色识别，主线芯红、绿、白。</w:t>
      </w:r>
    </w:p>
    <w:p>
      <w:pPr>
        <w:spacing w:line="360" w:lineRule="auto"/>
        <w:ind w:firstLine="490" w:firstLineChars="175"/>
        <w:rPr>
          <w:rFonts w:ascii="宋体" w:hAnsi="宋体"/>
          <w:sz w:val="28"/>
        </w:rPr>
      </w:pPr>
      <w:r>
        <w:rPr>
          <w:rFonts w:hint="eastAsia" w:ascii="宋体" w:hAnsi="宋体"/>
          <w:sz w:val="28"/>
        </w:rPr>
        <w:t>2.3.12、成品电缆的阻燃性能满足MT818.5-2009的要求。</w:t>
      </w:r>
    </w:p>
    <w:p>
      <w:pPr>
        <w:spacing w:line="360" w:lineRule="auto"/>
        <w:ind w:firstLine="490" w:firstLineChars="175"/>
        <w:rPr>
          <w:rFonts w:ascii="宋体" w:hAnsi="宋体"/>
          <w:sz w:val="28"/>
        </w:rPr>
      </w:pPr>
      <w:r>
        <w:rPr>
          <w:rFonts w:hint="eastAsia" w:ascii="宋体" w:hAnsi="宋体"/>
          <w:sz w:val="28"/>
        </w:rPr>
        <w:t>2.3.13、电缆标志：电缆表面印有型号、电压、规格及制造厂。</w:t>
      </w:r>
    </w:p>
    <w:p>
      <w:pPr>
        <w:spacing w:line="360" w:lineRule="auto"/>
        <w:ind w:firstLine="490" w:firstLineChars="175"/>
        <w:rPr>
          <w:rFonts w:ascii="宋体" w:hAnsi="宋体"/>
          <w:sz w:val="28"/>
        </w:rPr>
      </w:pPr>
      <w:r>
        <w:rPr>
          <w:rFonts w:hint="eastAsia" w:ascii="宋体" w:hAnsi="宋体"/>
          <w:sz w:val="28"/>
        </w:rPr>
        <w:t>2.3.14、到货时附带产品出厂合格证、出厂检验证明及到第三方检验报告（阻燃）。</w:t>
      </w:r>
    </w:p>
    <w:p>
      <w:pPr>
        <w:widowControl/>
        <w:adjustRightInd w:val="0"/>
        <w:snapToGrid w:val="0"/>
        <w:spacing w:line="360" w:lineRule="auto"/>
        <w:jc w:val="left"/>
        <w:rPr>
          <w:rFonts w:hint="eastAsia" w:ascii="宋体" w:hAnsi="宋体" w:cs="宋体"/>
          <w:b/>
          <w:color w:val="000000"/>
          <w:sz w:val="28"/>
          <w:lang w:val="zh-CN"/>
        </w:rPr>
      </w:pPr>
      <w:r>
        <w:rPr>
          <w:rFonts w:hint="eastAsia" w:ascii="宋体" w:hAnsi="宋体" w:cs="宋体"/>
          <w:b/>
          <w:kern w:val="0"/>
          <w:sz w:val="28"/>
        </w:rPr>
        <w:t>2.4</w:t>
      </w:r>
      <w:r>
        <w:rPr>
          <w:rFonts w:hint="eastAsia" w:ascii="宋体" w:hAnsi="宋体" w:cs="宋体"/>
          <w:b/>
          <w:color w:val="000000"/>
          <w:sz w:val="28"/>
          <w:lang w:val="zh-CN"/>
        </w:rPr>
        <w:t>局部通风机</w:t>
      </w:r>
    </w:p>
    <w:p>
      <w:pPr>
        <w:widowControl/>
        <w:adjustRightInd w:val="0"/>
        <w:snapToGrid w:val="0"/>
        <w:spacing w:line="360" w:lineRule="auto"/>
        <w:jc w:val="left"/>
        <w:rPr>
          <w:rFonts w:ascii="宋体" w:hAnsi="宋体" w:cs="宋体"/>
          <w:sz w:val="28"/>
          <w:lang w:val="zh-CN"/>
        </w:rPr>
      </w:pPr>
      <w:bookmarkStart w:id="1" w:name="_GoBack"/>
      <w:bookmarkEnd w:id="1"/>
      <w:r>
        <w:rPr>
          <w:rFonts w:hint="eastAsia" w:ascii="宋体" w:hAnsi="宋体" w:cs="宋体"/>
          <w:sz w:val="28"/>
          <w:lang w:val="zh-CN"/>
        </w:rPr>
        <w:t>2.4.1通风机技术参数：</w:t>
      </w:r>
    </w:p>
    <w:p>
      <w:pPr>
        <w:widowControl/>
        <w:adjustRightInd w:val="0"/>
        <w:snapToGrid w:val="0"/>
        <w:spacing w:line="360" w:lineRule="auto"/>
        <w:ind w:firstLine="560" w:firstLineChars="200"/>
        <w:jc w:val="left"/>
        <w:rPr>
          <w:rFonts w:ascii="宋体" w:hAnsi="宋体" w:cs="宋体"/>
          <w:sz w:val="28"/>
        </w:rPr>
      </w:pPr>
      <w:r>
        <w:rPr>
          <w:rFonts w:hint="eastAsia" w:ascii="宋体" w:hAnsi="宋体" w:cs="宋体"/>
          <w:sz w:val="28"/>
          <w:lang w:val="zh-CN"/>
        </w:rPr>
        <w:t>型号：FBD№</w:t>
      </w:r>
      <w:r>
        <w:rPr>
          <w:rFonts w:hint="eastAsia" w:ascii="宋体" w:hAnsi="宋体" w:cs="宋体"/>
          <w:sz w:val="28"/>
        </w:rPr>
        <w:t>7.1/</w:t>
      </w:r>
      <w:r>
        <w:rPr>
          <w:rFonts w:hint="eastAsia" w:ascii="宋体" w:hAnsi="宋体" w:cs="宋体"/>
          <w:sz w:val="28"/>
          <w:lang w:val="zh-CN"/>
        </w:rPr>
        <w:t>2×</w:t>
      </w:r>
      <w:r>
        <w:rPr>
          <w:rFonts w:hint="eastAsia" w:ascii="宋体" w:hAnsi="宋体" w:cs="宋体"/>
          <w:sz w:val="28"/>
        </w:rPr>
        <w:t>37</w:t>
      </w:r>
      <w:r>
        <w:rPr>
          <w:rFonts w:hint="eastAsia" w:ascii="宋体" w:hAnsi="宋体" w:cs="宋体"/>
          <w:sz w:val="28"/>
        </w:rPr>
        <w:tab/>
      </w:r>
      <w:r>
        <w:rPr>
          <w:rFonts w:hint="eastAsia" w:ascii="宋体" w:hAnsi="宋体" w:cs="宋体"/>
          <w:sz w:val="28"/>
        </w:rPr>
        <w:t>KW</w:t>
      </w:r>
    </w:p>
    <w:p>
      <w:pPr>
        <w:widowControl/>
        <w:adjustRightInd w:val="0"/>
        <w:snapToGrid w:val="0"/>
        <w:spacing w:line="360" w:lineRule="auto"/>
        <w:ind w:firstLine="560" w:firstLineChars="200"/>
        <w:jc w:val="left"/>
        <w:rPr>
          <w:rFonts w:ascii="宋体" w:hAnsi="宋体" w:cs="宋体"/>
          <w:sz w:val="28"/>
          <w:lang w:val="zh-CN"/>
        </w:rPr>
      </w:pPr>
      <w:r>
        <w:rPr>
          <w:rFonts w:hint="eastAsia" w:ascii="宋体" w:hAnsi="宋体" w:cs="宋体"/>
          <w:sz w:val="28"/>
          <w:lang w:val="zh-CN"/>
        </w:rPr>
        <w:t xml:space="preserve">额定电压（Uin）：660/1140V </w:t>
      </w:r>
    </w:p>
    <w:p>
      <w:pPr>
        <w:widowControl/>
        <w:adjustRightInd w:val="0"/>
        <w:snapToGrid w:val="0"/>
        <w:spacing w:line="360" w:lineRule="auto"/>
        <w:ind w:firstLine="560" w:firstLineChars="200"/>
        <w:jc w:val="left"/>
        <w:rPr>
          <w:rFonts w:ascii="宋体" w:hAnsi="宋体" w:cs="宋体"/>
          <w:sz w:val="28"/>
          <w:lang w:val="zh-CN"/>
        </w:rPr>
      </w:pPr>
      <w:r>
        <w:rPr>
          <w:rFonts w:hint="eastAsia" w:ascii="宋体" w:hAnsi="宋体" w:cs="宋体"/>
          <w:sz w:val="28"/>
          <w:lang w:val="zh-CN"/>
        </w:rPr>
        <w:t>额定电流：39.3/22.8</w:t>
      </w:r>
    </w:p>
    <w:p>
      <w:pPr>
        <w:widowControl/>
        <w:adjustRightInd w:val="0"/>
        <w:snapToGrid w:val="0"/>
        <w:spacing w:line="360" w:lineRule="auto"/>
        <w:ind w:firstLine="560" w:firstLineChars="200"/>
        <w:jc w:val="left"/>
        <w:rPr>
          <w:rFonts w:ascii="宋体" w:hAnsi="宋体" w:cs="宋体"/>
          <w:sz w:val="28"/>
          <w:lang w:val="zh-CN"/>
        </w:rPr>
      </w:pPr>
      <w:r>
        <w:rPr>
          <w:rFonts w:hint="eastAsia" w:ascii="宋体" w:hAnsi="宋体" w:cs="宋体"/>
          <w:sz w:val="28"/>
          <w:lang w:val="zh-CN"/>
        </w:rPr>
        <w:t>额定频率: 30-50 Hz</w:t>
      </w:r>
    </w:p>
    <w:p>
      <w:pPr>
        <w:widowControl/>
        <w:adjustRightInd w:val="0"/>
        <w:snapToGrid w:val="0"/>
        <w:spacing w:line="360" w:lineRule="auto"/>
        <w:ind w:firstLine="560" w:firstLineChars="200"/>
        <w:jc w:val="left"/>
        <w:rPr>
          <w:rFonts w:ascii="宋体" w:hAnsi="宋体" w:cs="宋体"/>
          <w:color w:val="000000"/>
          <w:sz w:val="28"/>
          <w:lang w:val="zh-CN"/>
        </w:rPr>
      </w:pPr>
      <w:r>
        <w:rPr>
          <w:rFonts w:hint="eastAsia" w:ascii="宋体" w:hAnsi="宋体" w:cs="宋体"/>
          <w:sz w:val="28"/>
          <w:lang w:val="zh-CN"/>
        </w:rPr>
        <w:t>额定功率：2*</w:t>
      </w:r>
      <w:r>
        <w:rPr>
          <w:rFonts w:hint="eastAsia" w:ascii="宋体" w:hAnsi="宋体" w:cs="宋体"/>
          <w:sz w:val="28"/>
        </w:rPr>
        <w:t>37</w:t>
      </w:r>
      <w:r>
        <w:rPr>
          <w:rFonts w:hint="eastAsia" w:ascii="宋体" w:hAnsi="宋体" w:cs="宋体"/>
          <w:sz w:val="28"/>
          <w:lang w:val="zh-CN"/>
        </w:rPr>
        <w:t>kW</w:t>
      </w:r>
    </w:p>
    <w:p>
      <w:pPr>
        <w:widowControl/>
        <w:adjustRightInd w:val="0"/>
        <w:snapToGrid w:val="0"/>
        <w:spacing w:line="360" w:lineRule="auto"/>
        <w:ind w:firstLine="560" w:firstLineChars="200"/>
        <w:jc w:val="left"/>
        <w:rPr>
          <w:rFonts w:ascii="宋体" w:hAnsi="宋体" w:cs="宋体"/>
          <w:sz w:val="28"/>
          <w:lang w:val="zh-CN"/>
        </w:rPr>
      </w:pPr>
      <w:r>
        <w:rPr>
          <w:rFonts w:hint="eastAsia" w:ascii="宋体" w:hAnsi="宋体" w:cs="宋体"/>
          <w:sz w:val="28"/>
          <w:lang w:val="zh-CN"/>
        </w:rPr>
        <w:t>供电电压波动范围：+10%/-15%范围内，可正常工作</w:t>
      </w:r>
    </w:p>
    <w:p>
      <w:pPr>
        <w:widowControl/>
        <w:adjustRightInd w:val="0"/>
        <w:snapToGrid w:val="0"/>
        <w:spacing w:line="360" w:lineRule="auto"/>
        <w:ind w:firstLine="560" w:firstLineChars="200"/>
        <w:jc w:val="left"/>
        <w:rPr>
          <w:rFonts w:ascii="宋体" w:hAnsi="宋体" w:cs="宋体"/>
          <w:sz w:val="28"/>
          <w:lang w:val="zh-CN"/>
        </w:rPr>
      </w:pPr>
      <w:r>
        <w:rPr>
          <w:rFonts w:hint="eastAsia" w:ascii="宋体" w:hAnsi="宋体" w:cs="宋体"/>
          <w:sz w:val="28"/>
          <w:lang w:val="zh-CN"/>
        </w:rPr>
        <w:t>风量：</w:t>
      </w:r>
      <w:r>
        <w:rPr>
          <w:rFonts w:hint="eastAsia" w:ascii="宋体" w:hAnsi="宋体" w:cs="宋体"/>
          <w:sz w:val="28"/>
        </w:rPr>
        <w:t>750-250</w:t>
      </w:r>
      <w:r>
        <w:rPr>
          <w:rFonts w:hint="eastAsia" w:ascii="宋体" w:hAnsi="宋体" w:cs="宋体"/>
          <w:sz w:val="28"/>
          <w:lang w:val="zh-CN"/>
        </w:rPr>
        <w:t>（m³/min）</w:t>
      </w:r>
    </w:p>
    <w:p>
      <w:pPr>
        <w:widowControl/>
        <w:adjustRightInd w:val="0"/>
        <w:snapToGrid w:val="0"/>
        <w:spacing w:line="360" w:lineRule="auto"/>
        <w:ind w:firstLine="560" w:firstLineChars="200"/>
        <w:jc w:val="left"/>
        <w:rPr>
          <w:rFonts w:ascii="宋体" w:hAnsi="宋体" w:cs="宋体"/>
          <w:sz w:val="28"/>
          <w:lang w:val="zh-CN"/>
        </w:rPr>
      </w:pPr>
      <w:r>
        <w:rPr>
          <w:rFonts w:hint="eastAsia" w:ascii="宋体" w:hAnsi="宋体" w:cs="宋体"/>
          <w:sz w:val="28"/>
          <w:lang w:val="zh-CN"/>
        </w:rPr>
        <w:t>风压：</w:t>
      </w:r>
      <w:r>
        <w:rPr>
          <w:rFonts w:hint="eastAsia" w:ascii="宋体" w:hAnsi="宋体" w:cs="宋体"/>
          <w:sz w:val="28"/>
        </w:rPr>
        <w:t>360-6900</w:t>
      </w:r>
      <w:r>
        <w:rPr>
          <w:rFonts w:hint="eastAsia" w:ascii="宋体" w:hAnsi="宋体" w:cs="宋体"/>
          <w:sz w:val="28"/>
          <w:lang w:val="zh-CN"/>
        </w:rPr>
        <w:t>（Pa）</w:t>
      </w:r>
    </w:p>
    <w:p>
      <w:pPr>
        <w:widowControl/>
        <w:adjustRightInd w:val="0"/>
        <w:snapToGrid w:val="0"/>
        <w:spacing w:line="360" w:lineRule="auto"/>
        <w:ind w:firstLine="560" w:firstLineChars="200"/>
        <w:jc w:val="left"/>
        <w:rPr>
          <w:rFonts w:ascii="宋体" w:hAnsi="宋体" w:cs="宋体"/>
          <w:sz w:val="28"/>
          <w:lang w:val="zh-CN"/>
        </w:rPr>
      </w:pPr>
      <w:r>
        <w:rPr>
          <w:rFonts w:hint="eastAsia" w:ascii="宋体" w:hAnsi="宋体" w:cs="宋体"/>
          <w:sz w:val="28"/>
          <w:lang w:val="zh-CN"/>
        </w:rPr>
        <w:t>最高全压效率：≥80 (%)</w:t>
      </w:r>
    </w:p>
    <w:p>
      <w:pPr>
        <w:widowControl/>
        <w:adjustRightInd w:val="0"/>
        <w:snapToGrid w:val="0"/>
        <w:spacing w:line="360" w:lineRule="auto"/>
        <w:ind w:firstLine="560" w:firstLineChars="200"/>
        <w:jc w:val="left"/>
        <w:rPr>
          <w:rFonts w:ascii="宋体" w:hAnsi="宋体" w:cs="宋体"/>
          <w:sz w:val="28"/>
          <w:lang w:val="zh-CN"/>
        </w:rPr>
      </w:pPr>
      <w:r>
        <w:rPr>
          <w:rFonts w:hint="eastAsia" w:ascii="宋体" w:hAnsi="宋体" w:cs="宋体"/>
          <w:sz w:val="28"/>
          <w:lang w:val="zh-CN"/>
        </w:rPr>
        <w:t>噪声：≤ 80 db（A）（距离风机一米实测）</w:t>
      </w:r>
    </w:p>
    <w:p>
      <w:pPr>
        <w:widowControl/>
        <w:adjustRightInd w:val="0"/>
        <w:snapToGrid w:val="0"/>
        <w:spacing w:line="360" w:lineRule="auto"/>
        <w:ind w:firstLine="560" w:firstLineChars="200"/>
        <w:jc w:val="left"/>
        <w:rPr>
          <w:rFonts w:ascii="宋体" w:hAnsi="宋体" w:cs="宋体"/>
          <w:sz w:val="28"/>
          <w:lang w:val="zh-CN"/>
        </w:rPr>
      </w:pPr>
      <w:r>
        <w:rPr>
          <w:rFonts w:hint="eastAsia" w:ascii="宋体" w:hAnsi="宋体" w:cs="宋体"/>
          <w:sz w:val="28"/>
          <w:lang w:val="zh-CN"/>
        </w:rPr>
        <w:t>使用寿命: 正常使用状态下</w:t>
      </w:r>
      <w:r>
        <w:rPr>
          <w:rFonts w:ascii="宋体" w:hAnsi="宋体" w:cs="宋体"/>
          <w:sz w:val="28"/>
          <w:lang w:val="zh-CN"/>
        </w:rPr>
        <w:t>5</w:t>
      </w:r>
      <w:r>
        <w:rPr>
          <w:rFonts w:hint="eastAsia" w:ascii="宋体" w:hAnsi="宋体" w:cs="宋体"/>
          <w:sz w:val="28"/>
          <w:lang w:val="zh-CN"/>
        </w:rPr>
        <w:t xml:space="preserve">年以上 </w:t>
      </w:r>
    </w:p>
    <w:p>
      <w:pPr>
        <w:widowControl/>
        <w:adjustRightInd w:val="0"/>
        <w:snapToGrid w:val="0"/>
        <w:spacing w:line="360" w:lineRule="auto"/>
        <w:jc w:val="left"/>
        <w:rPr>
          <w:rFonts w:ascii="宋体" w:hAnsi="宋体" w:cs="宋体"/>
          <w:color w:val="000000"/>
          <w:sz w:val="28"/>
          <w:lang w:val="zh-CN"/>
        </w:rPr>
      </w:pPr>
      <w:r>
        <w:rPr>
          <w:rFonts w:hint="eastAsia" w:ascii="宋体" w:hAnsi="宋体" w:cs="宋体"/>
          <w:color w:val="000000"/>
          <w:sz w:val="28"/>
        </w:rPr>
        <w:t>2.4.2</w:t>
      </w:r>
      <w:r>
        <w:rPr>
          <w:rFonts w:hint="eastAsia" w:ascii="宋体" w:hAnsi="宋体" w:cs="宋体"/>
          <w:color w:val="000000"/>
          <w:sz w:val="28"/>
          <w:lang w:val="zh-CN"/>
        </w:rPr>
        <w:t>防爆变频电动机技术参数：</w:t>
      </w:r>
    </w:p>
    <w:p>
      <w:pPr>
        <w:widowControl/>
        <w:adjustRightInd w:val="0"/>
        <w:snapToGrid w:val="0"/>
        <w:spacing w:line="360" w:lineRule="auto"/>
        <w:ind w:firstLine="560" w:firstLineChars="200"/>
        <w:jc w:val="left"/>
        <w:rPr>
          <w:rFonts w:ascii="宋体" w:hAnsi="宋体" w:cs="宋体"/>
          <w:color w:val="000000"/>
          <w:sz w:val="28"/>
          <w:lang w:val="zh-CN"/>
        </w:rPr>
      </w:pPr>
      <w:r>
        <w:rPr>
          <w:rFonts w:hint="eastAsia" w:ascii="宋体" w:hAnsi="宋体" w:cs="宋体"/>
          <w:color w:val="000000"/>
          <w:sz w:val="28"/>
          <w:lang w:val="zh-CN"/>
        </w:rPr>
        <w:t>电机额定功率：</w:t>
      </w:r>
      <w:r>
        <w:rPr>
          <w:rFonts w:hint="eastAsia" w:ascii="宋体" w:hAnsi="宋体" w:cs="宋体"/>
          <w:color w:val="000000"/>
          <w:sz w:val="28"/>
        </w:rPr>
        <w:t>37</w:t>
      </w:r>
      <w:r>
        <w:rPr>
          <w:rFonts w:hint="eastAsia" w:ascii="宋体" w:hAnsi="宋体" w:cs="宋体"/>
          <w:color w:val="000000"/>
          <w:sz w:val="28"/>
          <w:lang w:val="zh-CN"/>
        </w:rPr>
        <w:t>kw</w:t>
      </w:r>
    </w:p>
    <w:p>
      <w:pPr>
        <w:widowControl/>
        <w:adjustRightInd w:val="0"/>
        <w:snapToGrid w:val="0"/>
        <w:spacing w:line="360" w:lineRule="auto"/>
        <w:ind w:firstLine="560" w:firstLineChars="200"/>
        <w:jc w:val="left"/>
        <w:rPr>
          <w:rFonts w:ascii="宋体" w:hAnsi="宋体" w:cs="宋体"/>
          <w:color w:val="000000"/>
          <w:sz w:val="28"/>
          <w:lang w:val="zh-CN"/>
        </w:rPr>
      </w:pPr>
      <w:r>
        <w:rPr>
          <w:rFonts w:hint="eastAsia" w:ascii="宋体" w:hAnsi="宋体" w:cs="宋体"/>
          <w:color w:val="000000"/>
          <w:sz w:val="28"/>
          <w:lang w:val="zh-CN"/>
        </w:rPr>
        <w:t>电机额定转速：29</w:t>
      </w:r>
      <w:r>
        <w:rPr>
          <w:rFonts w:hint="eastAsia" w:ascii="宋体" w:hAnsi="宋体" w:cs="宋体"/>
          <w:color w:val="000000"/>
          <w:sz w:val="28"/>
        </w:rPr>
        <w:t>5</w:t>
      </w:r>
      <w:r>
        <w:rPr>
          <w:rFonts w:hint="eastAsia" w:ascii="宋体" w:hAnsi="宋体" w:cs="宋体"/>
          <w:color w:val="000000"/>
          <w:sz w:val="28"/>
          <w:lang w:val="zh-CN"/>
        </w:rPr>
        <w:t>0r/min</w:t>
      </w:r>
    </w:p>
    <w:p>
      <w:pPr>
        <w:widowControl/>
        <w:adjustRightInd w:val="0"/>
        <w:snapToGrid w:val="0"/>
        <w:spacing w:line="360" w:lineRule="auto"/>
        <w:ind w:firstLine="560" w:firstLineChars="200"/>
        <w:jc w:val="left"/>
        <w:rPr>
          <w:rFonts w:ascii="宋体" w:hAnsi="宋体" w:cs="宋体"/>
          <w:sz w:val="28"/>
          <w:lang w:val="zh-CN"/>
        </w:rPr>
      </w:pPr>
      <w:r>
        <w:rPr>
          <w:rFonts w:hint="eastAsia" w:ascii="宋体" w:hAnsi="宋体" w:cs="宋体"/>
          <w:sz w:val="28"/>
          <w:lang w:val="zh-CN"/>
        </w:rPr>
        <w:t>额定转矩：2018N.m</w:t>
      </w:r>
    </w:p>
    <w:p>
      <w:pPr>
        <w:widowControl/>
        <w:adjustRightInd w:val="0"/>
        <w:snapToGrid w:val="0"/>
        <w:spacing w:line="360" w:lineRule="auto"/>
        <w:ind w:firstLine="560" w:firstLineChars="200"/>
        <w:jc w:val="left"/>
        <w:rPr>
          <w:rFonts w:ascii="宋体" w:hAnsi="宋体" w:cs="宋体"/>
          <w:color w:val="000000"/>
          <w:sz w:val="28"/>
          <w:lang w:val="zh-CN"/>
        </w:rPr>
      </w:pPr>
      <w:r>
        <w:rPr>
          <w:rFonts w:hint="eastAsia" w:ascii="宋体" w:hAnsi="宋体" w:cs="宋体"/>
          <w:color w:val="000000"/>
          <w:sz w:val="28"/>
          <w:lang w:val="zh-CN"/>
        </w:rPr>
        <w:t>绝缘等级：F级</w:t>
      </w:r>
    </w:p>
    <w:p>
      <w:pPr>
        <w:widowControl/>
        <w:adjustRightInd w:val="0"/>
        <w:snapToGrid w:val="0"/>
        <w:spacing w:line="360" w:lineRule="auto"/>
        <w:ind w:firstLine="495" w:firstLineChars="177"/>
        <w:jc w:val="left"/>
        <w:rPr>
          <w:rFonts w:ascii="宋体" w:hAnsi="宋体" w:cs="宋体"/>
          <w:color w:val="000000"/>
          <w:sz w:val="28"/>
          <w:lang w:val="zh-CN"/>
        </w:rPr>
      </w:pPr>
      <w:r>
        <w:rPr>
          <w:rFonts w:hint="eastAsia" w:ascii="宋体" w:hAnsi="宋体" w:cs="宋体"/>
          <w:color w:val="000000"/>
          <w:sz w:val="28"/>
          <w:lang w:val="zh-CN"/>
        </w:rPr>
        <w:t>防护等级：IP55</w:t>
      </w:r>
    </w:p>
    <w:p>
      <w:pPr>
        <w:widowControl/>
        <w:adjustRightInd w:val="0"/>
        <w:snapToGrid w:val="0"/>
        <w:spacing w:line="360" w:lineRule="auto"/>
        <w:ind w:firstLine="495" w:firstLineChars="177"/>
        <w:jc w:val="left"/>
        <w:rPr>
          <w:rFonts w:ascii="宋体" w:hAnsi="宋体" w:cs="宋体"/>
          <w:color w:val="000000"/>
          <w:sz w:val="28"/>
          <w:lang w:val="zh-CN"/>
        </w:rPr>
      </w:pPr>
      <w:r>
        <w:rPr>
          <w:rFonts w:hint="eastAsia" w:ascii="宋体" w:hAnsi="宋体" w:cs="宋体"/>
          <w:color w:val="000000"/>
          <w:sz w:val="28"/>
          <w:lang w:val="zh-CN"/>
        </w:rPr>
        <w:t>工作制式：S1(连续工作制)</w:t>
      </w:r>
    </w:p>
    <w:p>
      <w:pPr>
        <w:widowControl/>
        <w:adjustRightInd w:val="0"/>
        <w:snapToGrid w:val="0"/>
        <w:spacing w:line="360" w:lineRule="auto"/>
        <w:ind w:firstLine="495" w:firstLineChars="177"/>
        <w:jc w:val="left"/>
        <w:rPr>
          <w:rFonts w:ascii="宋体" w:hAnsi="宋体" w:cs="宋体"/>
          <w:color w:val="000000"/>
          <w:sz w:val="28"/>
          <w:lang w:val="zh-CN"/>
        </w:rPr>
      </w:pPr>
      <w:r>
        <w:rPr>
          <w:rFonts w:hint="eastAsia" w:ascii="宋体" w:hAnsi="宋体" w:cs="宋体"/>
          <w:color w:val="000000"/>
          <w:sz w:val="28"/>
          <w:lang w:val="zh-CN"/>
        </w:rPr>
        <w:t>冷却方式：风冷</w:t>
      </w:r>
    </w:p>
    <w:p>
      <w:pPr>
        <w:widowControl/>
        <w:adjustRightInd w:val="0"/>
        <w:snapToGrid w:val="0"/>
        <w:spacing w:line="360" w:lineRule="auto"/>
        <w:ind w:firstLine="495" w:firstLineChars="177"/>
        <w:jc w:val="left"/>
        <w:rPr>
          <w:rFonts w:ascii="宋体" w:hAnsi="宋体" w:cs="宋体"/>
          <w:color w:val="000000"/>
          <w:sz w:val="28"/>
          <w:lang w:val="zh-CN"/>
        </w:rPr>
      </w:pPr>
      <w:r>
        <w:rPr>
          <w:rFonts w:hint="eastAsia" w:ascii="宋体" w:hAnsi="宋体" w:cs="宋体"/>
          <w:color w:val="000000"/>
          <w:sz w:val="28"/>
          <w:lang w:val="zh-CN"/>
        </w:rPr>
        <w:t xml:space="preserve">额定效率： ≥90%  </w:t>
      </w:r>
    </w:p>
    <w:p>
      <w:pPr>
        <w:widowControl/>
        <w:adjustRightInd w:val="0"/>
        <w:snapToGrid w:val="0"/>
        <w:spacing w:line="360" w:lineRule="auto"/>
        <w:ind w:firstLine="495" w:firstLineChars="177"/>
        <w:jc w:val="left"/>
        <w:rPr>
          <w:rFonts w:ascii="宋体" w:hAnsi="宋体" w:cs="宋体"/>
          <w:color w:val="000000"/>
          <w:sz w:val="28"/>
          <w:lang w:val="zh-CN"/>
        </w:rPr>
      </w:pPr>
      <w:r>
        <w:rPr>
          <w:rFonts w:hint="eastAsia" w:ascii="宋体" w:hAnsi="宋体" w:cs="宋体"/>
          <w:color w:val="000000"/>
          <w:sz w:val="28"/>
          <w:lang w:val="zh-CN"/>
        </w:rPr>
        <w:t xml:space="preserve">功率因数： ≥0.88  </w:t>
      </w:r>
    </w:p>
    <w:p>
      <w:pPr>
        <w:widowControl/>
        <w:adjustRightInd w:val="0"/>
        <w:snapToGrid w:val="0"/>
        <w:spacing w:line="360" w:lineRule="auto"/>
        <w:ind w:firstLine="495" w:firstLineChars="177"/>
        <w:jc w:val="left"/>
        <w:rPr>
          <w:rFonts w:ascii="宋体" w:hAnsi="宋体" w:cs="宋体"/>
          <w:color w:val="000000"/>
          <w:sz w:val="28"/>
          <w:lang w:val="zh-CN"/>
        </w:rPr>
      </w:pPr>
      <w:r>
        <w:rPr>
          <w:rFonts w:hint="eastAsia" w:ascii="宋体" w:hAnsi="宋体" w:cs="宋体"/>
          <w:color w:val="000000"/>
          <w:sz w:val="28"/>
          <w:lang w:val="zh-CN"/>
        </w:rPr>
        <w:t xml:space="preserve">相  数：  3  </w:t>
      </w:r>
    </w:p>
    <w:p>
      <w:pPr>
        <w:widowControl/>
        <w:adjustRightInd w:val="0"/>
        <w:snapToGrid w:val="0"/>
        <w:spacing w:line="360" w:lineRule="auto"/>
        <w:ind w:firstLine="495" w:firstLineChars="177"/>
        <w:jc w:val="left"/>
        <w:rPr>
          <w:rFonts w:ascii="宋体" w:hAnsi="宋体" w:cs="宋体"/>
          <w:color w:val="000000"/>
          <w:sz w:val="28"/>
          <w:lang w:val="zh-CN"/>
        </w:rPr>
      </w:pPr>
      <w:r>
        <w:rPr>
          <w:rFonts w:hint="eastAsia" w:ascii="宋体" w:hAnsi="宋体" w:cs="宋体"/>
          <w:color w:val="000000"/>
          <w:sz w:val="28"/>
          <w:lang w:val="zh-CN"/>
        </w:rPr>
        <w:t xml:space="preserve">防爆等级： ExdI  </w:t>
      </w:r>
    </w:p>
    <w:p>
      <w:pPr>
        <w:widowControl/>
        <w:adjustRightInd w:val="0"/>
        <w:snapToGrid w:val="0"/>
        <w:spacing w:line="360" w:lineRule="auto"/>
        <w:ind w:firstLine="495" w:firstLineChars="177"/>
        <w:jc w:val="left"/>
        <w:rPr>
          <w:rFonts w:ascii="宋体" w:hAnsi="宋体" w:cs="宋体"/>
          <w:sz w:val="28"/>
          <w:lang w:val="zh-CN"/>
        </w:rPr>
      </w:pPr>
      <w:r>
        <w:rPr>
          <w:rFonts w:hint="eastAsia" w:ascii="宋体" w:hAnsi="宋体" w:cs="宋体"/>
          <w:sz w:val="28"/>
          <w:lang w:val="zh-CN"/>
        </w:rPr>
        <w:t>轴承：选用SKF、FAG、NSK进口品牌</w:t>
      </w:r>
    </w:p>
    <w:p>
      <w:pPr>
        <w:widowControl/>
        <w:adjustRightInd w:val="0"/>
        <w:snapToGrid w:val="0"/>
        <w:spacing w:line="360" w:lineRule="auto"/>
        <w:ind w:firstLine="495" w:firstLineChars="177"/>
        <w:jc w:val="left"/>
        <w:rPr>
          <w:rFonts w:ascii="宋体" w:hAnsi="宋体" w:cs="宋体"/>
          <w:color w:val="000000"/>
          <w:sz w:val="28"/>
          <w:lang w:val="zh-CN"/>
        </w:rPr>
      </w:pPr>
      <w:r>
        <w:rPr>
          <w:rFonts w:hint="eastAsia" w:ascii="宋体" w:hAnsi="宋体" w:cs="宋体"/>
          <w:color w:val="000000"/>
          <w:sz w:val="28"/>
          <w:lang w:val="zh-CN"/>
        </w:rPr>
        <w:t>使用寿命：10年以上</w:t>
      </w:r>
    </w:p>
    <w:p>
      <w:pPr>
        <w:widowControl/>
        <w:adjustRightInd w:val="0"/>
        <w:snapToGrid w:val="0"/>
        <w:spacing w:line="360" w:lineRule="auto"/>
        <w:ind w:firstLine="280" w:firstLineChars="100"/>
        <w:jc w:val="left"/>
        <w:rPr>
          <w:rFonts w:ascii="宋体" w:hAnsi="宋体" w:cs="宋体"/>
          <w:color w:val="000000"/>
          <w:sz w:val="28"/>
          <w:lang w:val="zh-CN"/>
        </w:rPr>
      </w:pPr>
      <w:r>
        <w:rPr>
          <w:rFonts w:hint="eastAsia" w:ascii="宋体" w:hAnsi="宋体" w:cs="宋体"/>
          <w:color w:val="000000"/>
          <w:sz w:val="28"/>
          <w:lang w:val="zh-CN"/>
        </w:rPr>
        <w:t>2.4.3局部通风机技术要求：</w:t>
      </w:r>
    </w:p>
    <w:p>
      <w:pPr>
        <w:tabs>
          <w:tab w:val="left" w:pos="3660"/>
        </w:tabs>
        <w:adjustRightInd w:val="0"/>
        <w:snapToGrid w:val="0"/>
        <w:spacing w:line="360" w:lineRule="auto"/>
        <w:ind w:firstLine="560" w:firstLineChars="200"/>
        <w:rPr>
          <w:rFonts w:ascii="宋体" w:hAnsi="宋体"/>
          <w:sz w:val="28"/>
        </w:rPr>
      </w:pPr>
      <w:r>
        <w:rPr>
          <w:rFonts w:hint="eastAsia" w:ascii="宋体" w:hAnsi="宋体"/>
          <w:sz w:val="28"/>
        </w:rPr>
        <w:t>1）矿用变频局部通风机基本构成 ：弯头式消音器、插板式进口消音器、复合式主机、隔爆型变频电动机、第一级叶轮组、第二级叶轮组、锥筒式出口消音器等部分组成，噪音低于80分贝。叶片采用三元流体设计，呈机翼扭曲型，材质选用Q235优质钢板，2级通风机叶轮，对旋运行。</w:t>
      </w:r>
    </w:p>
    <w:p>
      <w:pPr>
        <w:tabs>
          <w:tab w:val="left" w:pos="3660"/>
        </w:tabs>
        <w:adjustRightInd w:val="0"/>
        <w:snapToGrid w:val="0"/>
        <w:spacing w:line="360" w:lineRule="auto"/>
        <w:ind w:firstLine="560" w:firstLineChars="200"/>
        <w:rPr>
          <w:rFonts w:ascii="宋体" w:hAnsi="宋体"/>
          <w:sz w:val="28"/>
        </w:rPr>
      </w:pPr>
      <w:r>
        <w:rPr>
          <w:rFonts w:hint="eastAsia" w:ascii="宋体" w:hAnsi="宋体"/>
          <w:sz w:val="28"/>
        </w:rPr>
        <w:t>2）矿用变频局部通风机配接电压等级为660V/1140V。</w:t>
      </w:r>
    </w:p>
    <w:p>
      <w:pPr>
        <w:tabs>
          <w:tab w:val="left" w:pos="3660"/>
        </w:tabs>
        <w:adjustRightInd w:val="0"/>
        <w:snapToGrid w:val="0"/>
        <w:spacing w:line="360" w:lineRule="auto"/>
        <w:ind w:firstLine="560" w:firstLineChars="200"/>
        <w:rPr>
          <w:rFonts w:ascii="宋体" w:hAnsi="宋体"/>
          <w:sz w:val="28"/>
        </w:rPr>
      </w:pPr>
      <w:r>
        <w:rPr>
          <w:rFonts w:hint="eastAsia" w:ascii="宋体" w:hAnsi="宋体"/>
          <w:sz w:val="28"/>
        </w:rPr>
        <w:t>3）矿用变频局部通风机为整机噪音低于80分贝的通风机，符合《煤矿安全规程》中噪声防治的要求。</w:t>
      </w:r>
    </w:p>
    <w:p>
      <w:pPr>
        <w:tabs>
          <w:tab w:val="left" w:pos="3660"/>
        </w:tabs>
        <w:adjustRightInd w:val="0"/>
        <w:snapToGrid w:val="0"/>
        <w:spacing w:line="360" w:lineRule="auto"/>
        <w:ind w:firstLine="560" w:firstLineChars="200"/>
        <w:rPr>
          <w:rFonts w:ascii="宋体" w:hAnsi="宋体"/>
          <w:sz w:val="28"/>
        </w:rPr>
      </w:pPr>
      <w:r>
        <w:rPr>
          <w:rFonts w:hint="eastAsia" w:ascii="宋体" w:hAnsi="宋体"/>
          <w:sz w:val="28"/>
        </w:rPr>
        <w:t>4）矿用变频局部通风机风量自动调节范围、全压自动调节范围符合下表：</w:t>
      </w:r>
    </w:p>
    <w:tbl>
      <w:tblPr>
        <w:tblStyle w:val="16"/>
        <w:tblW w:w="105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8"/>
        <w:gridCol w:w="2157"/>
        <w:gridCol w:w="1560"/>
        <w:gridCol w:w="1574"/>
        <w:gridCol w:w="1261"/>
        <w:gridCol w:w="1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2748" w:type="dxa"/>
            <w:vAlign w:val="center"/>
          </w:tcPr>
          <w:p>
            <w:pPr>
              <w:tabs>
                <w:tab w:val="left" w:pos="3660"/>
              </w:tabs>
              <w:adjustRightInd w:val="0"/>
              <w:snapToGrid w:val="0"/>
              <w:spacing w:line="360" w:lineRule="auto"/>
              <w:jc w:val="center"/>
              <w:rPr>
                <w:rFonts w:ascii="宋体" w:hAnsi="宋体"/>
                <w:sz w:val="24"/>
              </w:rPr>
            </w:pPr>
            <w:r>
              <w:rPr>
                <w:rFonts w:hint="eastAsia" w:ascii="宋体" w:hAnsi="宋体"/>
                <w:sz w:val="24"/>
              </w:rPr>
              <w:t>物资名称</w:t>
            </w:r>
          </w:p>
        </w:tc>
        <w:tc>
          <w:tcPr>
            <w:tcW w:w="2157" w:type="dxa"/>
            <w:vAlign w:val="center"/>
          </w:tcPr>
          <w:p>
            <w:pPr>
              <w:tabs>
                <w:tab w:val="left" w:pos="3660"/>
              </w:tabs>
              <w:adjustRightInd w:val="0"/>
              <w:snapToGrid w:val="0"/>
              <w:spacing w:line="360" w:lineRule="auto"/>
              <w:jc w:val="center"/>
              <w:rPr>
                <w:rFonts w:ascii="宋体" w:hAnsi="宋体"/>
                <w:sz w:val="24"/>
              </w:rPr>
            </w:pPr>
            <w:r>
              <w:rPr>
                <w:rFonts w:hint="eastAsia" w:ascii="宋体" w:hAnsi="宋体"/>
                <w:sz w:val="24"/>
              </w:rPr>
              <w:t>参考规格型号</w:t>
            </w:r>
          </w:p>
        </w:tc>
        <w:tc>
          <w:tcPr>
            <w:tcW w:w="1560" w:type="dxa"/>
            <w:vAlign w:val="center"/>
          </w:tcPr>
          <w:p>
            <w:pPr>
              <w:tabs>
                <w:tab w:val="left" w:pos="3660"/>
              </w:tabs>
              <w:adjustRightInd w:val="0"/>
              <w:snapToGrid w:val="0"/>
              <w:spacing w:line="360" w:lineRule="auto"/>
              <w:jc w:val="center"/>
              <w:rPr>
                <w:rFonts w:ascii="宋体" w:hAnsi="宋体"/>
                <w:sz w:val="24"/>
              </w:rPr>
            </w:pPr>
            <w:r>
              <w:rPr>
                <w:rFonts w:hint="eastAsia" w:ascii="宋体" w:hAnsi="宋体"/>
                <w:sz w:val="24"/>
              </w:rPr>
              <w:t>风量（m3/min）</w:t>
            </w:r>
          </w:p>
        </w:tc>
        <w:tc>
          <w:tcPr>
            <w:tcW w:w="1574" w:type="dxa"/>
            <w:vAlign w:val="center"/>
          </w:tcPr>
          <w:p>
            <w:pPr>
              <w:tabs>
                <w:tab w:val="left" w:pos="3660"/>
              </w:tabs>
              <w:adjustRightInd w:val="0"/>
              <w:snapToGrid w:val="0"/>
              <w:spacing w:line="360" w:lineRule="auto"/>
              <w:jc w:val="center"/>
              <w:rPr>
                <w:rFonts w:ascii="宋体" w:hAnsi="宋体"/>
                <w:sz w:val="24"/>
              </w:rPr>
            </w:pPr>
            <w:r>
              <w:rPr>
                <w:rFonts w:hint="eastAsia" w:ascii="宋体" w:hAnsi="宋体"/>
                <w:sz w:val="24"/>
              </w:rPr>
              <w:t>全压（Pa）</w:t>
            </w:r>
          </w:p>
        </w:tc>
        <w:tc>
          <w:tcPr>
            <w:tcW w:w="1261" w:type="dxa"/>
            <w:vAlign w:val="center"/>
          </w:tcPr>
          <w:p>
            <w:pPr>
              <w:tabs>
                <w:tab w:val="left" w:pos="3660"/>
              </w:tabs>
              <w:adjustRightInd w:val="0"/>
              <w:snapToGrid w:val="0"/>
              <w:spacing w:line="360" w:lineRule="auto"/>
              <w:jc w:val="center"/>
              <w:rPr>
                <w:rFonts w:ascii="宋体" w:hAnsi="宋体"/>
                <w:sz w:val="24"/>
              </w:rPr>
            </w:pPr>
            <w:r>
              <w:rPr>
                <w:rFonts w:hint="eastAsia" w:ascii="宋体" w:hAnsi="宋体"/>
                <w:sz w:val="24"/>
              </w:rPr>
              <w:t>最高全压效率(%)</w:t>
            </w:r>
          </w:p>
        </w:tc>
        <w:tc>
          <w:tcPr>
            <w:tcW w:w="1211" w:type="dxa"/>
            <w:vAlign w:val="center"/>
          </w:tcPr>
          <w:p>
            <w:pPr>
              <w:tabs>
                <w:tab w:val="left" w:pos="3660"/>
              </w:tabs>
              <w:adjustRightInd w:val="0"/>
              <w:snapToGrid w:val="0"/>
              <w:spacing w:line="360" w:lineRule="auto"/>
              <w:jc w:val="center"/>
              <w:rPr>
                <w:rFonts w:ascii="宋体" w:hAnsi="宋体"/>
                <w:sz w:val="24"/>
              </w:rPr>
            </w:pPr>
            <w:r>
              <w:rPr>
                <w:rFonts w:hint="eastAsia" w:ascii="宋体" w:hAnsi="宋体"/>
                <w:sz w:val="24"/>
              </w:rPr>
              <w:t>噪声(dB)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2748" w:type="dxa"/>
            <w:vAlign w:val="center"/>
          </w:tcPr>
          <w:p>
            <w:pPr>
              <w:tabs>
                <w:tab w:val="left" w:pos="3660"/>
              </w:tabs>
              <w:adjustRightInd w:val="0"/>
              <w:snapToGrid w:val="0"/>
              <w:spacing w:line="360" w:lineRule="auto"/>
              <w:jc w:val="center"/>
              <w:rPr>
                <w:rFonts w:ascii="宋体" w:hAnsi="宋体"/>
                <w:sz w:val="24"/>
              </w:rPr>
            </w:pPr>
            <w:r>
              <w:rPr>
                <w:rFonts w:hint="eastAsia" w:ascii="宋体" w:hAnsi="宋体"/>
                <w:sz w:val="24"/>
              </w:rPr>
              <w:t>矿用智能变频局部通风机</w:t>
            </w:r>
          </w:p>
        </w:tc>
        <w:tc>
          <w:tcPr>
            <w:tcW w:w="2157" w:type="dxa"/>
            <w:vAlign w:val="center"/>
          </w:tcPr>
          <w:p>
            <w:pPr>
              <w:tabs>
                <w:tab w:val="left" w:pos="3660"/>
              </w:tabs>
              <w:adjustRightInd w:val="0"/>
              <w:snapToGrid w:val="0"/>
              <w:spacing w:line="360" w:lineRule="auto"/>
              <w:jc w:val="center"/>
              <w:rPr>
                <w:rFonts w:ascii="宋体" w:hAnsi="宋体"/>
                <w:sz w:val="24"/>
              </w:rPr>
            </w:pPr>
            <w:r>
              <w:rPr>
                <w:rFonts w:hint="eastAsia" w:ascii="宋体" w:hAnsi="宋体"/>
                <w:sz w:val="24"/>
              </w:rPr>
              <w:t>FBD№</w:t>
            </w:r>
            <w:r>
              <w:rPr>
                <w:rFonts w:ascii="宋体" w:hAnsi="宋体"/>
                <w:sz w:val="24"/>
              </w:rPr>
              <w:t>7.1</w:t>
            </w:r>
            <w:r>
              <w:rPr>
                <w:rFonts w:hint="eastAsia" w:ascii="宋体" w:hAnsi="宋体"/>
                <w:sz w:val="24"/>
              </w:rPr>
              <w:t>/2×</w:t>
            </w:r>
            <w:r>
              <w:rPr>
                <w:rFonts w:ascii="宋体" w:hAnsi="宋体"/>
                <w:sz w:val="24"/>
              </w:rPr>
              <w:t>37</w:t>
            </w:r>
          </w:p>
        </w:tc>
        <w:tc>
          <w:tcPr>
            <w:tcW w:w="1560" w:type="dxa"/>
            <w:vAlign w:val="center"/>
          </w:tcPr>
          <w:p>
            <w:pPr>
              <w:tabs>
                <w:tab w:val="left" w:pos="3660"/>
              </w:tabs>
              <w:adjustRightInd w:val="0"/>
              <w:snapToGrid w:val="0"/>
              <w:spacing w:line="360" w:lineRule="auto"/>
              <w:jc w:val="center"/>
              <w:rPr>
                <w:rFonts w:ascii="宋体" w:hAnsi="宋体"/>
                <w:sz w:val="24"/>
              </w:rPr>
            </w:pPr>
            <w:r>
              <w:rPr>
                <w:rFonts w:ascii="宋体" w:hAnsi="宋体"/>
                <w:sz w:val="24"/>
              </w:rPr>
              <w:t>750-250</w:t>
            </w:r>
          </w:p>
        </w:tc>
        <w:tc>
          <w:tcPr>
            <w:tcW w:w="1574" w:type="dxa"/>
            <w:vAlign w:val="center"/>
          </w:tcPr>
          <w:p>
            <w:pPr>
              <w:tabs>
                <w:tab w:val="left" w:pos="3660"/>
              </w:tabs>
              <w:adjustRightInd w:val="0"/>
              <w:snapToGrid w:val="0"/>
              <w:spacing w:line="360" w:lineRule="auto"/>
              <w:jc w:val="center"/>
              <w:rPr>
                <w:rFonts w:ascii="宋体" w:hAnsi="宋体"/>
                <w:sz w:val="24"/>
              </w:rPr>
            </w:pPr>
            <w:r>
              <w:rPr>
                <w:rFonts w:ascii="宋体" w:hAnsi="宋体" w:cs="宋体"/>
                <w:sz w:val="24"/>
              </w:rPr>
              <w:t>360-6900</w:t>
            </w:r>
          </w:p>
        </w:tc>
        <w:tc>
          <w:tcPr>
            <w:tcW w:w="1261" w:type="dxa"/>
            <w:vAlign w:val="center"/>
          </w:tcPr>
          <w:p>
            <w:pPr>
              <w:tabs>
                <w:tab w:val="left" w:pos="3660"/>
              </w:tabs>
              <w:adjustRightInd w:val="0"/>
              <w:snapToGrid w:val="0"/>
              <w:spacing w:line="360" w:lineRule="auto"/>
              <w:jc w:val="center"/>
              <w:rPr>
                <w:rFonts w:ascii="宋体" w:hAnsi="宋体"/>
                <w:sz w:val="24"/>
              </w:rPr>
            </w:pPr>
            <w:r>
              <w:rPr>
                <w:rFonts w:hint="eastAsia" w:ascii="宋体" w:hAnsi="宋体"/>
                <w:sz w:val="24"/>
              </w:rPr>
              <w:t>≥80</w:t>
            </w:r>
          </w:p>
        </w:tc>
        <w:tc>
          <w:tcPr>
            <w:tcW w:w="1211" w:type="dxa"/>
            <w:vAlign w:val="center"/>
          </w:tcPr>
          <w:p>
            <w:pPr>
              <w:tabs>
                <w:tab w:val="left" w:pos="3660"/>
              </w:tabs>
              <w:adjustRightInd w:val="0"/>
              <w:snapToGrid w:val="0"/>
              <w:spacing w:line="360" w:lineRule="auto"/>
              <w:jc w:val="center"/>
              <w:rPr>
                <w:rFonts w:ascii="宋体" w:hAnsi="宋体"/>
                <w:sz w:val="24"/>
              </w:rPr>
            </w:pPr>
            <w:r>
              <w:rPr>
                <w:rFonts w:hint="eastAsia" w:ascii="宋体" w:hAnsi="宋体"/>
                <w:sz w:val="24"/>
              </w:rPr>
              <w:t>≤80</w:t>
            </w:r>
          </w:p>
        </w:tc>
      </w:tr>
    </w:tbl>
    <w:p>
      <w:pPr>
        <w:tabs>
          <w:tab w:val="left" w:pos="3660"/>
        </w:tabs>
        <w:adjustRightInd w:val="0"/>
        <w:snapToGrid w:val="0"/>
        <w:spacing w:line="360" w:lineRule="auto"/>
        <w:ind w:firstLine="560" w:firstLineChars="200"/>
        <w:rPr>
          <w:rFonts w:ascii="宋体" w:hAnsi="宋体"/>
          <w:sz w:val="28"/>
        </w:rPr>
      </w:pPr>
      <w:r>
        <w:rPr>
          <w:rFonts w:hint="eastAsia" w:ascii="宋体" w:hAnsi="宋体"/>
          <w:sz w:val="28"/>
        </w:rPr>
        <w:t>5）矿用变频局部通风机的机壳钢板厚度不低于8mm，采用Q235A材质，保证机壳不致因碰撞而变形，并预留起重用的吊耳，具备装设滑撬的条件。</w:t>
      </w:r>
    </w:p>
    <w:p>
      <w:pPr>
        <w:tabs>
          <w:tab w:val="left" w:pos="3660"/>
        </w:tabs>
        <w:adjustRightInd w:val="0"/>
        <w:snapToGrid w:val="0"/>
        <w:spacing w:line="360" w:lineRule="auto"/>
        <w:ind w:firstLine="560" w:firstLineChars="200"/>
        <w:rPr>
          <w:rFonts w:ascii="宋体" w:hAnsi="宋体"/>
          <w:sz w:val="28"/>
        </w:rPr>
      </w:pPr>
      <w:r>
        <w:rPr>
          <w:rFonts w:hint="eastAsia" w:ascii="宋体" w:hAnsi="宋体"/>
          <w:sz w:val="28"/>
        </w:rPr>
        <w:t>6）矿用变频局部通风机防护等级不低于IP55，运转必须平稳，无异常声响。</w:t>
      </w:r>
    </w:p>
    <w:p>
      <w:pPr>
        <w:tabs>
          <w:tab w:val="left" w:pos="3660"/>
        </w:tabs>
        <w:adjustRightInd w:val="0"/>
        <w:snapToGrid w:val="0"/>
        <w:spacing w:line="360" w:lineRule="auto"/>
        <w:ind w:firstLine="560" w:firstLineChars="200"/>
        <w:rPr>
          <w:rFonts w:ascii="宋体" w:hAnsi="宋体"/>
          <w:sz w:val="28"/>
        </w:rPr>
      </w:pPr>
      <w:r>
        <w:rPr>
          <w:rFonts w:hint="eastAsia" w:ascii="宋体" w:hAnsi="宋体"/>
          <w:sz w:val="28"/>
        </w:rPr>
        <w:t>7）变频局部通风机使用寿命≥10年、且第1次大修前可连续安全稳定运转时间≥12000h。</w:t>
      </w:r>
    </w:p>
    <w:p>
      <w:pPr>
        <w:tabs>
          <w:tab w:val="left" w:pos="3660"/>
        </w:tabs>
        <w:adjustRightInd w:val="0"/>
        <w:snapToGrid w:val="0"/>
        <w:spacing w:line="360" w:lineRule="auto"/>
        <w:ind w:firstLine="560" w:firstLineChars="200"/>
        <w:rPr>
          <w:rFonts w:ascii="宋体" w:hAnsi="宋体"/>
          <w:sz w:val="28"/>
        </w:rPr>
      </w:pPr>
      <w:r>
        <w:rPr>
          <w:rFonts w:ascii="宋体" w:hAnsi="宋体"/>
          <w:sz w:val="28"/>
        </w:rPr>
        <w:t>8</w:t>
      </w:r>
      <w:r>
        <w:rPr>
          <w:rFonts w:hint="eastAsia" w:ascii="宋体" w:hAnsi="宋体"/>
          <w:sz w:val="28"/>
        </w:rPr>
        <w:t>）变频局部通风机采用YBF3系列风机用隔爆型三相异步变频电动机驱动，电动机结构为一体式，与叶轮传动方式采用直联方式，电动机的电气防爆性能必须符合《GB3836.2-2010爆炸性环境第2部分：由隔爆外壳“d” 保护的设备》的规定；通风机采用的聚合物制品必须符合《MT 113-1995 煤矿井下用聚合物制品阻燃抗静电性通用试验方法和判定规则》的规定。</w:t>
      </w:r>
    </w:p>
    <w:p>
      <w:pPr>
        <w:tabs>
          <w:tab w:val="left" w:pos="3660"/>
        </w:tabs>
        <w:adjustRightInd w:val="0"/>
        <w:snapToGrid w:val="0"/>
        <w:spacing w:line="360" w:lineRule="auto"/>
        <w:ind w:firstLine="560" w:firstLineChars="200"/>
        <w:rPr>
          <w:rFonts w:ascii="宋体" w:hAnsi="宋体"/>
          <w:sz w:val="28"/>
        </w:rPr>
      </w:pPr>
      <w:r>
        <w:rPr>
          <w:rFonts w:ascii="宋体" w:hAnsi="宋体"/>
          <w:sz w:val="28"/>
        </w:rPr>
        <w:t>9</w:t>
      </w:r>
      <w:r>
        <w:rPr>
          <w:rFonts w:hint="eastAsia" w:ascii="宋体" w:hAnsi="宋体"/>
          <w:sz w:val="28"/>
        </w:rPr>
        <w:t>）变频局部通风机的进气口必须加装固定的保护栅，保护栅网孔最大尺寸≤50mm，保护栅必须有足够的强度，防止粒径＞50mm的异物进入通风机内。</w:t>
      </w:r>
    </w:p>
    <w:p>
      <w:pPr>
        <w:tabs>
          <w:tab w:val="left" w:pos="3660"/>
        </w:tabs>
        <w:adjustRightInd w:val="0"/>
        <w:snapToGrid w:val="0"/>
        <w:spacing w:line="360" w:lineRule="auto"/>
        <w:ind w:firstLine="560" w:firstLineChars="200"/>
        <w:rPr>
          <w:rFonts w:ascii="宋体" w:hAnsi="宋体"/>
          <w:sz w:val="28"/>
        </w:rPr>
      </w:pPr>
      <w:r>
        <w:rPr>
          <w:rFonts w:hint="eastAsia" w:ascii="宋体" w:hAnsi="宋体"/>
          <w:sz w:val="28"/>
        </w:rPr>
        <w:t>1</w:t>
      </w:r>
      <w:r>
        <w:rPr>
          <w:rFonts w:ascii="宋体" w:hAnsi="宋体"/>
          <w:sz w:val="28"/>
        </w:rPr>
        <w:t>0</w:t>
      </w:r>
      <w:r>
        <w:rPr>
          <w:rFonts w:hint="eastAsia" w:ascii="宋体" w:hAnsi="宋体"/>
          <w:sz w:val="28"/>
        </w:rPr>
        <w:t>）变频局部通风机全压效率≥80%，噪声≤80dB，振动速度有效值（均方根速度）≤6.3mm/s。</w:t>
      </w:r>
    </w:p>
    <w:p>
      <w:pPr>
        <w:tabs>
          <w:tab w:val="left" w:pos="3660"/>
        </w:tabs>
        <w:adjustRightInd w:val="0"/>
        <w:snapToGrid w:val="0"/>
        <w:spacing w:line="360" w:lineRule="auto"/>
        <w:ind w:firstLine="560" w:firstLineChars="200"/>
        <w:rPr>
          <w:rFonts w:ascii="宋体" w:hAnsi="宋体"/>
          <w:sz w:val="28"/>
        </w:rPr>
      </w:pPr>
      <w:r>
        <w:rPr>
          <w:rFonts w:hint="eastAsia" w:ascii="宋体" w:hAnsi="宋体"/>
          <w:sz w:val="28"/>
        </w:rPr>
        <w:t>1</w:t>
      </w:r>
      <w:r>
        <w:rPr>
          <w:rFonts w:ascii="宋体" w:hAnsi="宋体"/>
          <w:sz w:val="28"/>
        </w:rPr>
        <w:t>1</w:t>
      </w:r>
      <w:r>
        <w:rPr>
          <w:rFonts w:hint="eastAsia" w:ascii="宋体" w:hAnsi="宋体"/>
          <w:sz w:val="28"/>
        </w:rPr>
        <w:t>）变频局部通风机，采用进口弯头消音器，进口插板消音器，主机复合包覆，出口锥筒消音器组成，实测噪音小于80分贝。</w:t>
      </w:r>
    </w:p>
    <w:p>
      <w:pPr>
        <w:tabs>
          <w:tab w:val="left" w:pos="3660"/>
        </w:tabs>
        <w:adjustRightInd w:val="0"/>
        <w:snapToGrid w:val="0"/>
        <w:spacing w:line="360" w:lineRule="auto"/>
        <w:ind w:firstLine="560" w:firstLineChars="200"/>
        <w:rPr>
          <w:rFonts w:ascii="宋体" w:hAnsi="宋体"/>
          <w:sz w:val="28"/>
        </w:rPr>
      </w:pPr>
      <w:r>
        <w:rPr>
          <w:rFonts w:hint="eastAsia" w:ascii="宋体" w:hAnsi="宋体"/>
          <w:sz w:val="28"/>
        </w:rPr>
        <w:t>1</w:t>
      </w:r>
      <w:r>
        <w:rPr>
          <w:rFonts w:ascii="宋体" w:hAnsi="宋体"/>
          <w:sz w:val="28"/>
        </w:rPr>
        <w:t>2</w:t>
      </w:r>
      <w:r>
        <w:rPr>
          <w:rFonts w:hint="eastAsia" w:ascii="宋体" w:hAnsi="宋体"/>
          <w:sz w:val="28"/>
        </w:rPr>
        <w:t>）变频局部通风机必须配备配套的风机支架，风机支架必须有足够的强度，保证支设风机平稳牢固。</w:t>
      </w:r>
    </w:p>
    <w:p>
      <w:pPr>
        <w:tabs>
          <w:tab w:val="left" w:pos="3660"/>
        </w:tabs>
        <w:adjustRightInd w:val="0"/>
        <w:snapToGrid w:val="0"/>
        <w:spacing w:line="360" w:lineRule="auto"/>
        <w:ind w:firstLine="560" w:firstLineChars="200"/>
        <w:rPr>
          <w:rFonts w:ascii="宋体" w:hAnsi="宋体"/>
          <w:sz w:val="28"/>
        </w:rPr>
      </w:pPr>
      <w:r>
        <w:rPr>
          <w:rFonts w:hint="eastAsia" w:ascii="宋体" w:hAnsi="宋体"/>
          <w:sz w:val="28"/>
        </w:rPr>
        <w:t>1</w:t>
      </w:r>
      <w:r>
        <w:rPr>
          <w:rFonts w:ascii="宋体" w:hAnsi="宋体"/>
          <w:sz w:val="28"/>
        </w:rPr>
        <w:t>3</w:t>
      </w:r>
      <w:r>
        <w:rPr>
          <w:rFonts w:hint="eastAsia" w:ascii="宋体" w:hAnsi="宋体"/>
          <w:sz w:val="28"/>
        </w:rPr>
        <w:t>）变频局部通风机应在外壳明显处固定产品标牌，并标明叶轮旋转方向、风流方向，凸纹防爆标志“Ex”、安全标志“MA”、接地符号和其他标志。产品标牌应符合JB/T 13306的规定，其材质应为铜或不锈钢，字迹应清晰、耐久，安装应牢固、可靠，内容采用钢印+醒目漆形式，并标明以下内容：</w:t>
      </w:r>
    </w:p>
    <w:p>
      <w:pPr>
        <w:tabs>
          <w:tab w:val="left" w:pos="3660"/>
        </w:tabs>
        <w:adjustRightInd w:val="0"/>
        <w:snapToGrid w:val="0"/>
        <w:spacing w:line="360" w:lineRule="auto"/>
        <w:ind w:firstLine="560" w:firstLineChars="200"/>
        <w:rPr>
          <w:rFonts w:ascii="宋体" w:hAnsi="宋体"/>
          <w:sz w:val="28"/>
        </w:rPr>
      </w:pPr>
      <w:r>
        <w:rPr>
          <w:rFonts w:hint="eastAsia" w:ascii="宋体" w:hAnsi="宋体"/>
          <w:sz w:val="28"/>
        </w:rPr>
        <w:t>a、产品名称、参考型号；</w:t>
      </w:r>
    </w:p>
    <w:p>
      <w:pPr>
        <w:tabs>
          <w:tab w:val="left" w:pos="3660"/>
        </w:tabs>
        <w:adjustRightInd w:val="0"/>
        <w:snapToGrid w:val="0"/>
        <w:spacing w:line="360" w:lineRule="auto"/>
        <w:ind w:firstLine="560" w:firstLineChars="200"/>
        <w:rPr>
          <w:rFonts w:ascii="宋体" w:hAnsi="宋体"/>
          <w:sz w:val="28"/>
        </w:rPr>
      </w:pPr>
      <w:r>
        <w:rPr>
          <w:rFonts w:hint="eastAsia" w:ascii="宋体" w:hAnsi="宋体"/>
          <w:sz w:val="28"/>
        </w:rPr>
        <w:t>b、产品基本参数：风量范围、全压范围、电动机额定功率、额定频率、额定电压、额定电流、转速、重量等；</w:t>
      </w:r>
    </w:p>
    <w:p>
      <w:pPr>
        <w:tabs>
          <w:tab w:val="left" w:pos="3660"/>
        </w:tabs>
        <w:adjustRightInd w:val="0"/>
        <w:snapToGrid w:val="0"/>
        <w:spacing w:line="360" w:lineRule="auto"/>
        <w:ind w:firstLine="560" w:firstLineChars="200"/>
        <w:rPr>
          <w:rFonts w:ascii="宋体" w:hAnsi="宋体"/>
          <w:sz w:val="28"/>
        </w:rPr>
      </w:pPr>
      <w:r>
        <w:rPr>
          <w:rFonts w:hint="eastAsia" w:ascii="宋体" w:hAnsi="宋体"/>
          <w:sz w:val="28"/>
        </w:rPr>
        <w:t>c、制造厂名称和商标；</w:t>
      </w:r>
    </w:p>
    <w:p>
      <w:pPr>
        <w:tabs>
          <w:tab w:val="left" w:pos="3660"/>
        </w:tabs>
        <w:adjustRightInd w:val="0"/>
        <w:snapToGrid w:val="0"/>
        <w:spacing w:line="360" w:lineRule="auto"/>
        <w:ind w:firstLine="560" w:firstLineChars="200"/>
        <w:rPr>
          <w:rFonts w:ascii="宋体" w:hAnsi="宋体"/>
          <w:sz w:val="28"/>
        </w:rPr>
      </w:pPr>
      <w:r>
        <w:rPr>
          <w:rFonts w:hint="eastAsia" w:ascii="宋体" w:hAnsi="宋体"/>
          <w:sz w:val="28"/>
        </w:rPr>
        <w:t>d、产品制造日期和出厂编号；</w:t>
      </w:r>
    </w:p>
    <w:p>
      <w:pPr>
        <w:tabs>
          <w:tab w:val="left" w:pos="3660"/>
        </w:tabs>
        <w:adjustRightInd w:val="0"/>
        <w:snapToGrid w:val="0"/>
        <w:spacing w:line="360" w:lineRule="auto"/>
        <w:ind w:firstLine="560" w:firstLineChars="200"/>
        <w:rPr>
          <w:rFonts w:ascii="宋体" w:hAnsi="宋体"/>
          <w:sz w:val="28"/>
        </w:rPr>
      </w:pPr>
      <w:r>
        <w:rPr>
          <w:rFonts w:hint="eastAsia" w:ascii="宋体" w:hAnsi="宋体"/>
          <w:sz w:val="28"/>
        </w:rPr>
        <w:t>e、右上方有明显标志“Ex”；</w:t>
      </w:r>
    </w:p>
    <w:p>
      <w:pPr>
        <w:tabs>
          <w:tab w:val="left" w:pos="3660"/>
        </w:tabs>
        <w:adjustRightInd w:val="0"/>
        <w:snapToGrid w:val="0"/>
        <w:spacing w:line="360" w:lineRule="auto"/>
        <w:ind w:firstLine="560" w:firstLineChars="200"/>
        <w:rPr>
          <w:rFonts w:ascii="宋体" w:hAnsi="宋体"/>
          <w:sz w:val="28"/>
        </w:rPr>
      </w:pPr>
      <w:r>
        <w:rPr>
          <w:rFonts w:hint="eastAsia" w:ascii="宋体" w:hAnsi="宋体"/>
          <w:sz w:val="28"/>
        </w:rPr>
        <w:t>f、防爆标志“dI”（摩擦火花安全标志“Mh”），防爆（摩擦火花安全性）合格证号和安全标志编号；</w:t>
      </w:r>
    </w:p>
    <w:p>
      <w:pPr>
        <w:tabs>
          <w:tab w:val="left" w:pos="3660"/>
        </w:tabs>
        <w:adjustRightInd w:val="0"/>
        <w:snapToGrid w:val="0"/>
        <w:spacing w:line="360" w:lineRule="auto"/>
        <w:ind w:firstLine="560" w:firstLineChars="200"/>
        <w:rPr>
          <w:rFonts w:ascii="宋体" w:hAnsi="宋体"/>
          <w:sz w:val="28"/>
        </w:rPr>
      </w:pPr>
      <w:r>
        <w:rPr>
          <w:rFonts w:hint="eastAsia" w:ascii="宋体" w:hAnsi="宋体"/>
          <w:sz w:val="28"/>
        </w:rPr>
        <w:t>g、电动机接线方式，绝缘等级。</w:t>
      </w:r>
    </w:p>
    <w:p>
      <w:pPr>
        <w:tabs>
          <w:tab w:val="left" w:pos="3660"/>
        </w:tabs>
        <w:adjustRightInd w:val="0"/>
        <w:snapToGrid w:val="0"/>
        <w:spacing w:line="360" w:lineRule="auto"/>
        <w:ind w:firstLine="560" w:firstLineChars="200"/>
        <w:rPr>
          <w:rFonts w:ascii="宋体" w:hAnsi="宋体"/>
          <w:sz w:val="28"/>
        </w:rPr>
      </w:pPr>
      <w:r>
        <w:rPr>
          <w:rFonts w:hint="eastAsia" w:ascii="宋体" w:hAnsi="宋体"/>
          <w:sz w:val="28"/>
        </w:rPr>
        <w:t>1</w:t>
      </w:r>
      <w:r>
        <w:rPr>
          <w:rFonts w:ascii="宋体" w:hAnsi="宋体"/>
          <w:sz w:val="28"/>
        </w:rPr>
        <w:t>4</w:t>
      </w:r>
      <w:r>
        <w:rPr>
          <w:rFonts w:hint="eastAsia" w:ascii="宋体" w:hAnsi="宋体"/>
          <w:sz w:val="28"/>
        </w:rPr>
        <w:t>）电动机转子、叶轮组必须进行动平衡试验，平衡试验值不得大于国家标准G6.3，随机提供动平衡试验报告。</w:t>
      </w:r>
    </w:p>
    <w:p>
      <w:pPr>
        <w:tabs>
          <w:tab w:val="left" w:pos="3660"/>
        </w:tabs>
        <w:adjustRightInd w:val="0"/>
        <w:snapToGrid w:val="0"/>
        <w:spacing w:line="360" w:lineRule="auto"/>
        <w:ind w:firstLine="560" w:firstLineChars="200"/>
        <w:rPr>
          <w:rFonts w:ascii="宋体" w:hAnsi="宋体"/>
          <w:sz w:val="28"/>
        </w:rPr>
      </w:pPr>
      <w:r>
        <w:rPr>
          <w:rFonts w:hint="eastAsia" w:ascii="宋体" w:hAnsi="宋体"/>
          <w:sz w:val="28"/>
        </w:rPr>
        <w:t>1</w:t>
      </w:r>
      <w:r>
        <w:rPr>
          <w:rFonts w:ascii="宋体" w:hAnsi="宋体"/>
          <w:sz w:val="28"/>
        </w:rPr>
        <w:t>5</w:t>
      </w:r>
      <w:r>
        <w:rPr>
          <w:rFonts w:hint="eastAsia" w:ascii="宋体" w:hAnsi="宋体"/>
          <w:sz w:val="28"/>
        </w:rPr>
        <w:t>）电动机隔爆参数应符合国家标准GB3836.1-2010、GB3836.2-2010、GB3836.3-2010《爆炸性气体环境用电气设备》的有关规定，隔爆结合面应有防锈措施，如电镀、磷化、涂204-1置换型防锈油漆等，但不得涂油漆。</w:t>
      </w:r>
    </w:p>
    <w:p>
      <w:pPr>
        <w:tabs>
          <w:tab w:val="left" w:pos="3660"/>
        </w:tabs>
        <w:adjustRightInd w:val="0"/>
        <w:snapToGrid w:val="0"/>
        <w:spacing w:line="360" w:lineRule="auto"/>
        <w:ind w:firstLine="560" w:firstLineChars="200"/>
        <w:rPr>
          <w:rFonts w:ascii="宋体" w:hAnsi="宋体"/>
          <w:sz w:val="28"/>
        </w:rPr>
      </w:pPr>
      <w:r>
        <w:rPr>
          <w:rFonts w:hint="eastAsia" w:ascii="宋体" w:hAnsi="宋体"/>
          <w:sz w:val="28"/>
        </w:rPr>
        <w:t>1</w:t>
      </w:r>
      <w:r>
        <w:rPr>
          <w:rFonts w:ascii="宋体" w:hAnsi="宋体"/>
          <w:sz w:val="28"/>
        </w:rPr>
        <w:t>6</w:t>
      </w:r>
      <w:r>
        <w:rPr>
          <w:rFonts w:hint="eastAsia" w:ascii="宋体" w:hAnsi="宋体"/>
          <w:sz w:val="28"/>
        </w:rPr>
        <w:t>）电动机定子绕组采用聚酯漆包圆铜线，定子铁芯经VPI浸漆处理，使之成为一个整体； 电动机转子采用热套工艺将铸铜转子固定在轴上。电机轴承使用寿命不得低于15000小时。</w:t>
      </w:r>
    </w:p>
    <w:p>
      <w:pPr>
        <w:tabs>
          <w:tab w:val="left" w:pos="3660"/>
        </w:tabs>
        <w:adjustRightInd w:val="0"/>
        <w:snapToGrid w:val="0"/>
        <w:spacing w:line="360" w:lineRule="auto"/>
        <w:ind w:firstLine="560" w:firstLineChars="200"/>
        <w:rPr>
          <w:rFonts w:ascii="宋体" w:hAnsi="宋体"/>
          <w:sz w:val="28"/>
        </w:rPr>
      </w:pPr>
      <w:r>
        <w:rPr>
          <w:rFonts w:hint="eastAsia" w:ascii="宋体" w:hAnsi="宋体"/>
          <w:sz w:val="28"/>
        </w:rPr>
        <w:t>1</w:t>
      </w:r>
      <w:r>
        <w:rPr>
          <w:rFonts w:ascii="宋体" w:hAnsi="宋体"/>
          <w:sz w:val="28"/>
        </w:rPr>
        <w:t>7</w:t>
      </w:r>
      <w:r>
        <w:rPr>
          <w:rFonts w:hint="eastAsia" w:ascii="宋体" w:hAnsi="宋体"/>
          <w:sz w:val="28"/>
        </w:rPr>
        <w:t>）电动机设不停机注油装置，可在运行中对电动机轴承加注润滑油脂。</w:t>
      </w:r>
    </w:p>
    <w:p>
      <w:pPr>
        <w:tabs>
          <w:tab w:val="left" w:pos="3660"/>
        </w:tabs>
        <w:adjustRightInd w:val="0"/>
        <w:snapToGrid w:val="0"/>
        <w:spacing w:line="360" w:lineRule="auto"/>
        <w:ind w:firstLine="560" w:firstLineChars="200"/>
        <w:rPr>
          <w:rFonts w:ascii="宋体" w:hAnsi="宋体"/>
          <w:sz w:val="28"/>
        </w:rPr>
      </w:pPr>
      <w:r>
        <w:rPr>
          <w:rFonts w:ascii="宋体" w:hAnsi="宋体"/>
          <w:sz w:val="28"/>
        </w:rPr>
        <w:t>18</w:t>
      </w:r>
      <w:r>
        <w:rPr>
          <w:rFonts w:hint="eastAsia" w:ascii="宋体" w:hAnsi="宋体"/>
          <w:sz w:val="28"/>
        </w:rPr>
        <w:t>）对机壳及叶片进行热喷涂工艺处理，叶片材质为优质碳钢，轮毂钢制，保证使叶片不生锈、耐磨损、耐腐蚀、紧固无松动。</w:t>
      </w:r>
    </w:p>
    <w:p>
      <w:pPr>
        <w:tabs>
          <w:tab w:val="left" w:pos="3660"/>
        </w:tabs>
        <w:adjustRightInd w:val="0"/>
        <w:snapToGrid w:val="0"/>
        <w:spacing w:line="360" w:lineRule="auto"/>
        <w:ind w:firstLine="560" w:firstLineChars="200"/>
        <w:rPr>
          <w:rFonts w:ascii="宋体" w:hAnsi="宋体"/>
          <w:sz w:val="28"/>
        </w:rPr>
      </w:pPr>
      <w:r>
        <w:rPr>
          <w:rFonts w:hint="eastAsia" w:ascii="宋体" w:hAnsi="宋体"/>
          <w:sz w:val="28"/>
        </w:rPr>
        <w:t>19）其他未说明事宜，均须满足《MT222-2007 煤矿用局部通风机技术条件、GB3836.1-2010  《爆炸性环境第1部分：设备通用要求》、GB3836.2-2010  《爆炸性环境第2部分：由隔爆外壳“d” 保护的设备》、《煤矿安全规程》等国家现行的标准要求。</w:t>
      </w:r>
    </w:p>
    <w:p>
      <w:pPr>
        <w:tabs>
          <w:tab w:val="left" w:pos="3660"/>
        </w:tabs>
        <w:adjustRightInd w:val="0"/>
        <w:snapToGrid w:val="0"/>
        <w:spacing w:line="360" w:lineRule="auto"/>
        <w:ind w:firstLine="560" w:firstLineChars="200"/>
        <w:rPr>
          <w:rFonts w:ascii="宋体" w:hAnsi="宋体"/>
          <w:sz w:val="28"/>
        </w:rPr>
      </w:pPr>
      <w:r>
        <w:rPr>
          <w:rFonts w:hint="eastAsia" w:ascii="宋体" w:hAnsi="宋体"/>
          <w:sz w:val="28"/>
        </w:rPr>
        <w:t>20）局部通风机支架根据使用方进行定制。</w:t>
      </w:r>
    </w:p>
    <w:p>
      <w:pPr>
        <w:tabs>
          <w:tab w:val="left" w:pos="3660"/>
        </w:tabs>
        <w:adjustRightInd w:val="0"/>
        <w:snapToGrid w:val="0"/>
        <w:spacing w:line="360" w:lineRule="auto"/>
        <w:ind w:firstLine="560" w:firstLineChars="200"/>
        <w:rPr>
          <w:rFonts w:ascii="宋体" w:hAnsi="宋体"/>
          <w:sz w:val="28"/>
        </w:rPr>
      </w:pPr>
      <w:r>
        <w:rPr>
          <w:rFonts w:hint="eastAsia" w:ascii="宋体" w:hAnsi="宋体"/>
          <w:sz w:val="28"/>
        </w:rPr>
        <w:t>21）所供产品为到货前1年内生产产品。</w:t>
      </w:r>
    </w:p>
    <w:p>
      <w:pPr>
        <w:pStyle w:val="15"/>
        <w:numPr>
          <w:ilvl w:val="0"/>
          <w:numId w:val="1"/>
        </w:numPr>
        <w:ind w:leftChars="0" w:firstLine="13" w:firstLineChars="0"/>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基本要求：</w:t>
      </w:r>
    </w:p>
    <w:p>
      <w:pPr>
        <w:snapToGrid w:val="0"/>
        <w:spacing w:line="360" w:lineRule="auto"/>
        <w:ind w:left="-13" w:leftChars="-6" w:firstLine="560" w:firstLineChars="200"/>
        <w:rPr>
          <w:snapToGrid w:val="0"/>
          <w:kern w:val="0"/>
          <w:sz w:val="28"/>
        </w:rPr>
      </w:pPr>
      <w:r>
        <w:rPr>
          <w:rFonts w:hint="eastAsia"/>
          <w:snapToGrid w:val="0"/>
          <w:kern w:val="0"/>
          <w:sz w:val="28"/>
        </w:rPr>
        <w:t>1、设计、生产、制造、安装、检验检测所需资质文件</w:t>
      </w:r>
    </w:p>
    <w:p>
      <w:pPr>
        <w:snapToGrid w:val="0"/>
        <w:spacing w:line="360" w:lineRule="auto"/>
        <w:ind w:left="420" w:leftChars="200"/>
        <w:rPr>
          <w:snapToGrid w:val="0"/>
          <w:kern w:val="0"/>
          <w:sz w:val="28"/>
        </w:rPr>
      </w:pPr>
      <w:r>
        <w:rPr>
          <w:rFonts w:hint="eastAsia"/>
          <w:snapToGrid w:val="0"/>
          <w:kern w:val="0"/>
          <w:sz w:val="28"/>
        </w:rPr>
        <w:t>包括以下资质文件：产品合格证、煤矿安全标志证书、生产许可证、防爆合格证。</w:t>
      </w:r>
    </w:p>
    <w:p>
      <w:pPr>
        <w:snapToGrid w:val="0"/>
        <w:spacing w:line="360" w:lineRule="auto"/>
        <w:ind w:firstLine="560" w:firstLineChars="200"/>
        <w:rPr>
          <w:snapToGrid w:val="0"/>
          <w:kern w:val="0"/>
          <w:sz w:val="28"/>
        </w:rPr>
      </w:pPr>
      <w:r>
        <w:rPr>
          <w:rFonts w:hint="eastAsia"/>
          <w:snapToGrid w:val="0"/>
          <w:kern w:val="0"/>
          <w:sz w:val="28"/>
        </w:rPr>
        <w:t>2、货物适用标准</w:t>
      </w:r>
    </w:p>
    <w:p>
      <w:pPr>
        <w:snapToGrid w:val="0"/>
        <w:spacing w:line="360" w:lineRule="auto"/>
        <w:ind w:left="420" w:leftChars="200"/>
        <w:rPr>
          <w:snapToGrid w:val="0"/>
          <w:kern w:val="0"/>
          <w:sz w:val="28"/>
        </w:rPr>
      </w:pPr>
      <w:r>
        <w:rPr>
          <w:rFonts w:hint="eastAsia"/>
          <w:snapToGrid w:val="0"/>
          <w:kern w:val="0"/>
          <w:sz w:val="28"/>
        </w:rPr>
        <w:t>《煤矿安全规程》</w:t>
      </w:r>
    </w:p>
    <w:p>
      <w:pPr>
        <w:snapToGrid w:val="0"/>
        <w:spacing w:line="360" w:lineRule="auto"/>
        <w:ind w:left="420" w:leftChars="200"/>
        <w:rPr>
          <w:snapToGrid w:val="0"/>
          <w:kern w:val="0"/>
          <w:sz w:val="28"/>
        </w:rPr>
      </w:pPr>
      <w:r>
        <w:rPr>
          <w:rFonts w:hint="eastAsia"/>
          <w:snapToGrid w:val="0"/>
          <w:kern w:val="0"/>
          <w:sz w:val="28"/>
        </w:rPr>
        <w:t>GB1984     《交流高压断路器》</w:t>
      </w:r>
    </w:p>
    <w:p>
      <w:pPr>
        <w:snapToGrid w:val="0"/>
        <w:spacing w:line="360" w:lineRule="auto"/>
        <w:ind w:left="420" w:leftChars="200"/>
        <w:rPr>
          <w:snapToGrid w:val="0"/>
          <w:kern w:val="0"/>
          <w:sz w:val="28"/>
        </w:rPr>
      </w:pPr>
      <w:r>
        <w:rPr>
          <w:rFonts w:hint="eastAsia"/>
          <w:snapToGrid w:val="0"/>
          <w:kern w:val="0"/>
          <w:sz w:val="28"/>
        </w:rPr>
        <w:t>GB1985     《高压交流隔离开关和接地开关》</w:t>
      </w:r>
    </w:p>
    <w:p>
      <w:pPr>
        <w:snapToGrid w:val="0"/>
        <w:spacing w:line="360" w:lineRule="auto"/>
        <w:ind w:left="420" w:leftChars="200"/>
        <w:rPr>
          <w:snapToGrid w:val="0"/>
          <w:kern w:val="0"/>
          <w:sz w:val="28"/>
        </w:rPr>
      </w:pPr>
      <w:r>
        <w:rPr>
          <w:rFonts w:hint="eastAsia"/>
          <w:snapToGrid w:val="0"/>
          <w:kern w:val="0"/>
          <w:sz w:val="28"/>
        </w:rPr>
        <w:t>GB3836.1   《爆炸性环境 第1部分：设备通用要求》</w:t>
      </w:r>
    </w:p>
    <w:p>
      <w:pPr>
        <w:snapToGrid w:val="0"/>
        <w:spacing w:line="360" w:lineRule="auto"/>
        <w:ind w:left="420" w:leftChars="200"/>
        <w:rPr>
          <w:snapToGrid w:val="0"/>
          <w:kern w:val="0"/>
          <w:sz w:val="28"/>
        </w:rPr>
      </w:pPr>
      <w:r>
        <w:rPr>
          <w:rFonts w:hint="eastAsia"/>
          <w:snapToGrid w:val="0"/>
          <w:kern w:val="0"/>
          <w:sz w:val="28"/>
        </w:rPr>
        <w:t>GB3836.2   《爆炸性环境 第2部分：由隔爆外壳“d”保护的设备》</w:t>
      </w:r>
    </w:p>
    <w:p>
      <w:pPr>
        <w:snapToGrid w:val="0"/>
        <w:spacing w:line="360" w:lineRule="auto"/>
        <w:ind w:left="420" w:leftChars="200"/>
        <w:rPr>
          <w:snapToGrid w:val="0"/>
          <w:kern w:val="0"/>
          <w:sz w:val="28"/>
        </w:rPr>
      </w:pPr>
      <w:r>
        <w:rPr>
          <w:rFonts w:hint="eastAsia"/>
          <w:snapToGrid w:val="0"/>
          <w:kern w:val="0"/>
          <w:sz w:val="28"/>
        </w:rPr>
        <w:t xml:space="preserve">GB763      《交流高压电器在长期工作时的发热》         </w:t>
      </w:r>
    </w:p>
    <w:p>
      <w:pPr>
        <w:snapToGrid w:val="0"/>
        <w:spacing w:line="360" w:lineRule="auto"/>
        <w:ind w:left="420" w:leftChars="200"/>
        <w:rPr>
          <w:snapToGrid w:val="0"/>
          <w:kern w:val="0"/>
          <w:sz w:val="28"/>
        </w:rPr>
      </w:pPr>
      <w:r>
        <w:rPr>
          <w:rFonts w:hint="eastAsia"/>
          <w:snapToGrid w:val="0"/>
          <w:kern w:val="0"/>
          <w:sz w:val="28"/>
        </w:rPr>
        <w:t>GB311      《高压输变电设备的绝缘配合》</w:t>
      </w:r>
    </w:p>
    <w:p>
      <w:pPr>
        <w:snapToGrid w:val="0"/>
        <w:spacing w:line="360" w:lineRule="auto"/>
        <w:ind w:left="420" w:leftChars="200"/>
        <w:rPr>
          <w:snapToGrid w:val="0"/>
          <w:kern w:val="0"/>
          <w:sz w:val="28"/>
        </w:rPr>
      </w:pPr>
      <w:r>
        <w:rPr>
          <w:rFonts w:hint="eastAsia"/>
          <w:snapToGrid w:val="0"/>
          <w:kern w:val="0"/>
          <w:sz w:val="28"/>
        </w:rPr>
        <w:t>GB3309     《高压开关设备常温下的机械试验》</w:t>
      </w:r>
    </w:p>
    <w:p>
      <w:pPr>
        <w:snapToGrid w:val="0"/>
        <w:spacing w:line="360" w:lineRule="auto"/>
        <w:ind w:left="420" w:leftChars="200"/>
        <w:rPr>
          <w:snapToGrid w:val="0"/>
          <w:kern w:val="0"/>
          <w:sz w:val="28"/>
        </w:rPr>
      </w:pPr>
      <w:r>
        <w:rPr>
          <w:rFonts w:hint="eastAsia"/>
          <w:snapToGrid w:val="0"/>
          <w:kern w:val="0"/>
          <w:sz w:val="28"/>
        </w:rPr>
        <w:t>GB2423.4   《电子电工产品 交变湿热试验方法》</w:t>
      </w:r>
    </w:p>
    <w:p>
      <w:pPr>
        <w:snapToGrid w:val="0"/>
        <w:spacing w:line="360" w:lineRule="auto"/>
        <w:ind w:left="420" w:leftChars="200"/>
        <w:rPr>
          <w:snapToGrid w:val="0"/>
          <w:kern w:val="0"/>
          <w:sz w:val="28"/>
        </w:rPr>
      </w:pPr>
      <w:r>
        <w:rPr>
          <w:rFonts w:hint="eastAsia"/>
          <w:snapToGrid w:val="0"/>
          <w:kern w:val="0"/>
          <w:sz w:val="28"/>
        </w:rPr>
        <w:t xml:space="preserve">GB2706     《交流高压电器动、热稳定试验方法》    </w:t>
      </w:r>
    </w:p>
    <w:p>
      <w:pPr>
        <w:snapToGrid w:val="0"/>
        <w:spacing w:line="360" w:lineRule="auto"/>
        <w:ind w:left="420" w:leftChars="200"/>
        <w:rPr>
          <w:snapToGrid w:val="0"/>
          <w:kern w:val="0"/>
          <w:sz w:val="28"/>
        </w:rPr>
      </w:pPr>
      <w:r>
        <w:rPr>
          <w:rFonts w:hint="eastAsia"/>
          <w:snapToGrid w:val="0"/>
          <w:kern w:val="0"/>
          <w:sz w:val="28"/>
        </w:rPr>
        <w:t>JB3855     《3.6～40.5kV户内交流高压真空断路器》</w:t>
      </w:r>
    </w:p>
    <w:p>
      <w:pPr>
        <w:snapToGrid w:val="0"/>
        <w:spacing w:line="360" w:lineRule="auto"/>
        <w:ind w:left="420" w:leftChars="200"/>
        <w:rPr>
          <w:snapToGrid w:val="0"/>
          <w:kern w:val="0"/>
          <w:sz w:val="28"/>
        </w:rPr>
      </w:pPr>
      <w:r>
        <w:rPr>
          <w:rFonts w:hint="eastAsia"/>
          <w:snapToGrid w:val="0"/>
          <w:kern w:val="0"/>
          <w:sz w:val="28"/>
        </w:rPr>
        <w:t>GB/T14808  《交流高压接触器和基于接触器的电动机起动器》</w:t>
      </w:r>
    </w:p>
    <w:p>
      <w:pPr>
        <w:snapToGrid w:val="0"/>
        <w:spacing w:line="360" w:lineRule="auto"/>
        <w:ind w:left="420" w:leftChars="200"/>
        <w:rPr>
          <w:snapToGrid w:val="0"/>
          <w:kern w:val="0"/>
          <w:sz w:val="28"/>
        </w:rPr>
      </w:pPr>
      <w:r>
        <w:rPr>
          <w:rFonts w:hint="eastAsia"/>
          <w:snapToGrid w:val="0"/>
          <w:kern w:val="0"/>
          <w:sz w:val="28"/>
        </w:rPr>
        <w:t>JB8739     《矿用隔爆高压配电装置》</w:t>
      </w:r>
    </w:p>
    <w:p>
      <w:pPr>
        <w:snapToGrid w:val="0"/>
        <w:spacing w:line="360" w:lineRule="auto"/>
        <w:ind w:left="420" w:leftChars="200"/>
        <w:rPr>
          <w:snapToGrid w:val="0"/>
          <w:kern w:val="0"/>
          <w:sz w:val="28"/>
        </w:rPr>
      </w:pPr>
      <w:r>
        <w:rPr>
          <w:rFonts w:hint="eastAsia"/>
          <w:snapToGrid w:val="0"/>
          <w:kern w:val="0"/>
          <w:sz w:val="28"/>
        </w:rPr>
        <w:t>3、如有最新版本的规范标准，则应按最新版本执行；设备出卖方可采用高于或等同于上述标准的国家及行业标准。</w:t>
      </w:r>
    </w:p>
    <w:p>
      <w:pPr>
        <w:pStyle w:val="7"/>
        <w:ind w:firstLine="480"/>
        <w:rPr>
          <w:rFonts w:ascii="Times New Roman" w:eastAsia="宋体"/>
          <w:snapToGrid w:val="0"/>
          <w:color w:val="auto"/>
          <w:kern w:val="0"/>
        </w:rPr>
      </w:pPr>
      <w:r>
        <w:rPr>
          <w:rFonts w:hint="eastAsia" w:ascii="Times New Roman" w:eastAsia="宋体"/>
          <w:snapToGrid w:val="0"/>
          <w:color w:val="auto"/>
          <w:kern w:val="0"/>
        </w:rPr>
        <w:t>4、供货周期不大于20天。</w:t>
      </w:r>
    </w:p>
    <w:p>
      <w:pPr>
        <w:pStyle w:val="15"/>
        <w:numPr>
          <w:ilvl w:val="0"/>
          <w:numId w:val="1"/>
        </w:numPr>
        <w:ind w:leftChars="0" w:firstLine="13" w:firstLineChars="0"/>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智能化要求</w:t>
      </w:r>
    </w:p>
    <w:p>
      <w:pPr>
        <w:pStyle w:val="7"/>
        <w:ind w:firstLine="480"/>
        <w:rPr>
          <w:rFonts w:ascii="Times New Roman" w:eastAsia="宋体"/>
          <w:snapToGrid w:val="0"/>
          <w:color w:val="auto"/>
          <w:kern w:val="0"/>
        </w:rPr>
      </w:pPr>
      <w:r>
        <w:rPr>
          <w:rFonts w:hint="eastAsia" w:ascii="Times New Roman" w:eastAsia="宋体"/>
          <w:snapToGrid w:val="0"/>
          <w:color w:val="auto"/>
          <w:kern w:val="0"/>
        </w:rPr>
        <w:t>1、选用可靠性高、智能型、先进性、可扩展型、兼容性强的设备。</w:t>
      </w:r>
    </w:p>
    <w:p>
      <w:pPr>
        <w:pStyle w:val="7"/>
        <w:ind w:firstLine="480"/>
        <w:rPr>
          <w:rFonts w:ascii="Times New Roman" w:eastAsia="宋体"/>
          <w:snapToGrid w:val="0"/>
          <w:color w:val="auto"/>
          <w:kern w:val="0"/>
        </w:rPr>
      </w:pPr>
      <w:r>
        <w:rPr>
          <w:rFonts w:hint="eastAsia" w:ascii="Times New Roman" w:eastAsia="宋体"/>
          <w:snapToGrid w:val="0"/>
          <w:color w:val="auto"/>
          <w:kern w:val="0"/>
        </w:rPr>
        <w:t>2、系统的网络接口要配置完善，为将来集成其他子系统或接入矿井信息化系统预留接口。</w:t>
      </w:r>
    </w:p>
    <w:p>
      <w:pPr>
        <w:pStyle w:val="7"/>
        <w:ind w:firstLine="480"/>
        <w:rPr>
          <w:rFonts w:ascii="Times New Roman" w:eastAsia="宋体"/>
          <w:snapToGrid w:val="0"/>
          <w:color w:val="auto"/>
          <w:kern w:val="0"/>
        </w:rPr>
      </w:pPr>
      <w:r>
        <w:rPr>
          <w:rFonts w:hint="eastAsia" w:ascii="Times New Roman" w:eastAsia="宋体"/>
          <w:snapToGrid w:val="0"/>
          <w:color w:val="auto"/>
          <w:kern w:val="0"/>
        </w:rPr>
        <w:t>3、变频式智能局部通风机、通风机用隔爆兼本质安全双电源双变频调速器等其他职能配套设备已列入矿井智能化建设，由中煤科工集团信息技术有限公司完成。</w:t>
      </w:r>
    </w:p>
    <w:p>
      <w:pPr>
        <w:pStyle w:val="15"/>
        <w:numPr>
          <w:ilvl w:val="0"/>
          <w:numId w:val="1"/>
        </w:numPr>
        <w:ind w:leftChars="0" w:firstLine="13" w:firstLineChars="0"/>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其他或环境要求：</w:t>
      </w:r>
    </w:p>
    <w:p>
      <w:pPr>
        <w:pStyle w:val="15"/>
        <w:spacing w:line="360" w:lineRule="auto"/>
        <w:ind w:left="0" w:leftChars="0" w:firstLine="560"/>
        <w:rPr>
          <w:snapToGrid w:val="0"/>
          <w:kern w:val="0"/>
          <w:sz w:val="28"/>
        </w:rPr>
      </w:pPr>
      <w:r>
        <w:rPr>
          <w:rFonts w:hint="eastAsia"/>
          <w:snapToGrid w:val="0"/>
          <w:kern w:val="0"/>
          <w:sz w:val="28"/>
        </w:rPr>
        <w:t>（一）运行环境条件要求</w:t>
      </w:r>
    </w:p>
    <w:p>
      <w:pPr>
        <w:pStyle w:val="11"/>
        <w:adjustRightInd w:val="0"/>
        <w:snapToGrid w:val="0"/>
        <w:spacing w:line="360" w:lineRule="auto"/>
        <w:ind w:firstLine="700" w:firstLineChars="250"/>
        <w:rPr>
          <w:rFonts w:ascii="Times New Roman" w:hAnsi="Times New Roman"/>
          <w:snapToGrid w:val="0"/>
          <w:kern w:val="0"/>
          <w:sz w:val="28"/>
          <w:szCs w:val="24"/>
        </w:rPr>
      </w:pPr>
      <w:r>
        <w:rPr>
          <w:rFonts w:hint="eastAsia" w:ascii="Times New Roman" w:hAnsi="Times New Roman"/>
          <w:snapToGrid w:val="0"/>
          <w:kern w:val="0"/>
          <w:sz w:val="28"/>
          <w:szCs w:val="24"/>
        </w:rPr>
        <w:t>1、运行地点：煤矿井下</w:t>
      </w:r>
    </w:p>
    <w:p>
      <w:pPr>
        <w:pStyle w:val="11"/>
        <w:adjustRightInd w:val="0"/>
        <w:snapToGrid w:val="0"/>
        <w:spacing w:line="360" w:lineRule="auto"/>
        <w:ind w:firstLine="700" w:firstLineChars="250"/>
        <w:rPr>
          <w:rFonts w:ascii="Times New Roman" w:hAnsi="Times New Roman"/>
          <w:snapToGrid w:val="0"/>
          <w:kern w:val="0"/>
          <w:sz w:val="28"/>
          <w:szCs w:val="24"/>
        </w:rPr>
      </w:pPr>
      <w:r>
        <w:rPr>
          <w:rFonts w:hint="eastAsia" w:ascii="Times New Roman" w:hAnsi="Times New Roman"/>
          <w:snapToGrid w:val="0"/>
          <w:kern w:val="0"/>
          <w:sz w:val="28"/>
          <w:szCs w:val="24"/>
        </w:rPr>
        <w:t>2、海拔高度：+1000m--+1300m</w:t>
      </w:r>
    </w:p>
    <w:p>
      <w:pPr>
        <w:spacing w:line="360" w:lineRule="auto"/>
        <w:ind w:firstLine="700" w:firstLineChars="250"/>
        <w:rPr>
          <w:snapToGrid w:val="0"/>
          <w:kern w:val="0"/>
          <w:sz w:val="28"/>
        </w:rPr>
      </w:pPr>
      <w:r>
        <w:rPr>
          <w:rFonts w:hint="eastAsia"/>
          <w:snapToGrid w:val="0"/>
          <w:kern w:val="0"/>
          <w:sz w:val="28"/>
        </w:rPr>
        <w:t>3、瓦斯等级:  低瓦斯矿井</w:t>
      </w:r>
    </w:p>
    <w:p>
      <w:pPr>
        <w:pStyle w:val="15"/>
        <w:spacing w:line="360" w:lineRule="auto"/>
        <w:ind w:left="0" w:leftChars="0" w:firstLine="560"/>
        <w:rPr>
          <w:snapToGrid w:val="0"/>
          <w:kern w:val="0"/>
          <w:sz w:val="28"/>
        </w:rPr>
      </w:pPr>
      <w:r>
        <w:rPr>
          <w:rFonts w:hint="eastAsia"/>
          <w:snapToGrid w:val="0"/>
          <w:kern w:val="0"/>
          <w:sz w:val="28"/>
        </w:rPr>
        <w:t>（二）其他要求</w:t>
      </w:r>
    </w:p>
    <w:p>
      <w:pPr>
        <w:spacing w:line="360" w:lineRule="auto"/>
        <w:ind w:firstLine="560" w:firstLineChars="200"/>
        <w:rPr>
          <w:snapToGrid w:val="0"/>
          <w:kern w:val="0"/>
          <w:sz w:val="28"/>
        </w:rPr>
      </w:pPr>
      <w:r>
        <w:rPr>
          <w:rFonts w:hint="eastAsia"/>
          <w:snapToGrid w:val="0"/>
          <w:kern w:val="0"/>
          <w:sz w:val="28"/>
        </w:rPr>
        <w:t>1、随设备资料</w:t>
      </w:r>
    </w:p>
    <w:p>
      <w:pPr>
        <w:pStyle w:val="21"/>
        <w:spacing w:line="360" w:lineRule="auto"/>
        <w:ind w:left="0" w:firstLine="560" w:firstLineChars="200"/>
        <w:rPr>
          <w:rFonts w:cs="Times New Roman"/>
          <w:snapToGrid w:val="0"/>
          <w:kern w:val="0"/>
          <w:sz w:val="28"/>
          <w:szCs w:val="24"/>
        </w:rPr>
      </w:pPr>
      <w:r>
        <w:rPr>
          <w:rFonts w:hint="eastAsia" w:cs="Times New Roman"/>
          <w:snapToGrid w:val="0"/>
          <w:kern w:val="0"/>
          <w:sz w:val="28"/>
          <w:szCs w:val="24"/>
        </w:rPr>
        <w:t>生产厂家应提供产品使用说明书，出厂试验报告，合格证书，安标证书、防爆证书、安装图纸等技术资料纸质版4套，电子版1套，备品备件及专用工具清单，电子资料和纸质版资料必须相符。</w:t>
      </w:r>
    </w:p>
    <w:p>
      <w:pPr>
        <w:pStyle w:val="21"/>
        <w:spacing w:line="360" w:lineRule="auto"/>
        <w:ind w:left="0" w:firstLine="560" w:firstLineChars="200"/>
        <w:rPr>
          <w:rFonts w:cs="Times New Roman"/>
          <w:snapToGrid w:val="0"/>
          <w:kern w:val="0"/>
          <w:sz w:val="28"/>
          <w:szCs w:val="24"/>
        </w:rPr>
      </w:pPr>
      <w:r>
        <w:rPr>
          <w:rFonts w:hint="eastAsia" w:cs="Times New Roman"/>
          <w:snapToGrid w:val="0"/>
          <w:kern w:val="0"/>
          <w:sz w:val="28"/>
          <w:szCs w:val="24"/>
        </w:rPr>
        <w:t>2、设备及材料的运输、卸车、就位、安装和调试均由中标方负责。</w:t>
      </w:r>
    </w:p>
    <w:p>
      <w:pPr>
        <w:pStyle w:val="15"/>
        <w:numPr>
          <w:ilvl w:val="0"/>
          <w:numId w:val="1"/>
        </w:numPr>
        <w:ind w:leftChars="0" w:firstLine="13" w:firstLineChars="0"/>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质量保证、售后：</w:t>
      </w:r>
    </w:p>
    <w:p>
      <w:pPr>
        <w:ind w:firstLine="560" w:firstLineChars="200"/>
        <w:rPr>
          <w:snapToGrid w:val="0"/>
          <w:kern w:val="0"/>
          <w:sz w:val="28"/>
          <w:lang w:eastAsia="en-US"/>
        </w:rPr>
      </w:pPr>
      <w:r>
        <w:rPr>
          <w:rFonts w:hint="eastAsia"/>
          <w:snapToGrid w:val="0"/>
          <w:kern w:val="0"/>
          <w:sz w:val="28"/>
        </w:rPr>
        <w:t>（一）</w:t>
      </w:r>
      <w:r>
        <w:rPr>
          <w:rFonts w:hint="eastAsia"/>
          <w:snapToGrid w:val="0"/>
          <w:kern w:val="0"/>
          <w:sz w:val="28"/>
          <w:lang w:eastAsia="en-US"/>
        </w:rPr>
        <w:t>质量保证</w:t>
      </w:r>
    </w:p>
    <w:p>
      <w:pPr>
        <w:spacing w:line="360" w:lineRule="auto"/>
        <w:ind w:firstLine="560" w:firstLineChars="200"/>
        <w:rPr>
          <w:snapToGrid w:val="0"/>
          <w:kern w:val="0"/>
          <w:sz w:val="28"/>
        </w:rPr>
      </w:pPr>
      <w:r>
        <w:rPr>
          <w:rFonts w:hint="eastAsia"/>
          <w:snapToGrid w:val="0"/>
          <w:kern w:val="0"/>
          <w:sz w:val="28"/>
        </w:rPr>
        <w:t>质量保证期限：设备到矿验收合格日起，质保期为18个月或使用1年。质保期内出现的质量问题均由供货方无偿解决处理，且所质保产品必须与原产品无异。</w:t>
      </w:r>
    </w:p>
    <w:p>
      <w:pPr>
        <w:spacing w:line="360" w:lineRule="auto"/>
        <w:ind w:firstLine="560" w:firstLineChars="200"/>
        <w:rPr>
          <w:snapToGrid w:val="0"/>
          <w:kern w:val="0"/>
          <w:sz w:val="28"/>
        </w:rPr>
      </w:pPr>
      <w:r>
        <w:rPr>
          <w:rFonts w:hint="eastAsia"/>
          <w:snapToGrid w:val="0"/>
          <w:kern w:val="0"/>
          <w:sz w:val="28"/>
        </w:rPr>
        <w:t>（二）售后服务</w:t>
      </w:r>
    </w:p>
    <w:p>
      <w:pPr>
        <w:pStyle w:val="15"/>
        <w:numPr>
          <w:ilvl w:val="255"/>
          <w:numId w:val="0"/>
        </w:numPr>
        <w:spacing w:line="360" w:lineRule="auto"/>
        <w:ind w:firstLine="560" w:firstLineChars="200"/>
        <w:rPr>
          <w:snapToGrid w:val="0"/>
          <w:kern w:val="0"/>
          <w:sz w:val="28"/>
        </w:rPr>
      </w:pPr>
      <w:r>
        <w:rPr>
          <w:rFonts w:hint="eastAsia"/>
          <w:snapToGrid w:val="0"/>
          <w:kern w:val="0"/>
          <w:sz w:val="28"/>
        </w:rPr>
        <w:t>1、产品出厂2年内供方应及时提交免费技术服务，对使用中出现的问题应能迅速处理，24小时内到矿，保证设备的正常使用；优惠提供配件，并保证及时供应。</w:t>
      </w:r>
    </w:p>
    <w:p>
      <w:pPr>
        <w:snapToGrid w:val="0"/>
        <w:spacing w:line="360" w:lineRule="auto"/>
        <w:ind w:firstLine="560" w:firstLineChars="200"/>
        <w:rPr>
          <w:snapToGrid w:val="0"/>
          <w:kern w:val="0"/>
          <w:sz w:val="28"/>
        </w:rPr>
      </w:pPr>
      <w:r>
        <w:rPr>
          <w:rFonts w:hint="eastAsia"/>
          <w:snapToGrid w:val="0"/>
          <w:kern w:val="0"/>
          <w:sz w:val="28"/>
        </w:rPr>
        <w:t>2、除相应最终用户的技术服务要求外，一年1-2次的技术回访，解决用户在使用过程中的一些问题，以及设备在运行过程中的注意事项。</w:t>
      </w:r>
    </w:p>
    <w:p>
      <w:pPr>
        <w:snapToGrid w:val="0"/>
        <w:spacing w:line="360" w:lineRule="auto"/>
        <w:ind w:firstLine="560" w:firstLineChars="200"/>
        <w:rPr>
          <w:snapToGrid w:val="0"/>
          <w:kern w:val="0"/>
          <w:sz w:val="28"/>
        </w:rPr>
      </w:pPr>
      <w:r>
        <w:rPr>
          <w:rFonts w:hint="eastAsia"/>
          <w:snapToGrid w:val="0"/>
          <w:kern w:val="0"/>
          <w:sz w:val="28"/>
        </w:rPr>
        <w:t>3、后期配件采购一年内按招标价供应，五年内价格不大于招标价120%，且不加收技术服务费。</w:t>
      </w:r>
    </w:p>
    <w:p>
      <w:pPr>
        <w:pStyle w:val="15"/>
        <w:numPr>
          <w:ilvl w:val="0"/>
          <w:numId w:val="1"/>
        </w:numPr>
        <w:ind w:leftChars="0" w:firstLine="13" w:firstLineChars="0"/>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招标要求：</w:t>
      </w:r>
    </w:p>
    <w:p>
      <w:pPr>
        <w:snapToGrid w:val="0"/>
        <w:spacing w:line="360" w:lineRule="auto"/>
        <w:ind w:left="-13" w:leftChars="-6" w:firstLine="560" w:firstLineChars="200"/>
        <w:rPr>
          <w:rFonts w:hint="eastAsia"/>
          <w:snapToGrid w:val="0"/>
          <w:kern w:val="0"/>
          <w:sz w:val="28"/>
        </w:rPr>
      </w:pPr>
      <w:r>
        <w:rPr>
          <w:rFonts w:hint="eastAsia"/>
          <w:snapToGrid w:val="0"/>
          <w:kern w:val="0"/>
          <w:sz w:val="28"/>
        </w:rPr>
        <w:t>矿用隔爆型真空智能馈电开关、变频式智能局部通风机、通风机用隔爆兼本质安全双电源</w:t>
      </w:r>
      <w:r>
        <w:rPr>
          <w:snapToGrid w:val="0"/>
          <w:kern w:val="0"/>
          <w:sz w:val="28"/>
        </w:rPr>
        <w:t>双变频调速器</w:t>
      </w:r>
      <w:r>
        <w:rPr>
          <w:rFonts w:hint="eastAsia"/>
          <w:snapToGrid w:val="0"/>
          <w:kern w:val="0"/>
          <w:sz w:val="28"/>
        </w:rPr>
        <w:t>、</w:t>
      </w:r>
      <w:r>
        <w:rPr>
          <w:snapToGrid w:val="0"/>
          <w:kern w:val="0"/>
          <w:sz w:val="28"/>
        </w:rPr>
        <w:t>电缆分标段分项报价</w:t>
      </w:r>
      <w:r>
        <w:rPr>
          <w:rFonts w:hint="eastAsia"/>
          <w:snapToGrid w:val="0"/>
          <w:kern w:val="0"/>
          <w:sz w:val="28"/>
        </w:rPr>
        <w:t>。</w:t>
      </w:r>
    </w:p>
    <w:p>
      <w:pPr>
        <w:pStyle w:val="2"/>
        <w:ind w:left="0" w:leftChars="0" w:firstLine="0" w:firstLineChars="0"/>
        <w:jc w:val="both"/>
        <w:rPr>
          <w:lang w:bidi="ar-SA"/>
        </w:rPr>
        <w:sectPr>
          <w:footerReference r:id="rId4" w:type="default"/>
          <w:pgSz w:w="11906" w:h="16838"/>
          <w:pgMar w:top="1440" w:right="1080" w:bottom="1440" w:left="1080" w:header="851" w:footer="992" w:gutter="0"/>
          <w:pgNumType w:start="1"/>
          <w:cols w:space="425" w:num="1"/>
          <w:docGrid w:type="lines" w:linePitch="312" w:charSpace="0"/>
        </w:sectPr>
      </w:pPr>
    </w:p>
    <w:p>
      <w:pPr>
        <w:spacing w:beforeLines="100" w:afterLines="100"/>
        <w:jc w:val="center"/>
        <w:rPr>
          <w:rFonts w:asciiTheme="majorEastAsia" w:hAnsiTheme="majorEastAsia" w:eastAsiaTheme="majorEastAsia" w:cstheme="majorEastAsia"/>
          <w:b/>
          <w:sz w:val="36"/>
          <w:szCs w:val="36"/>
        </w:rPr>
      </w:pPr>
      <w:r>
        <w:rPr>
          <w:rFonts w:hint="eastAsia" w:asciiTheme="majorEastAsia" w:hAnsiTheme="majorEastAsia" w:eastAsiaTheme="majorEastAsia" w:cstheme="majorEastAsia"/>
          <w:b/>
          <w:sz w:val="36"/>
          <w:szCs w:val="36"/>
        </w:rPr>
        <w:t>签 字 审 批 页</w:t>
      </w:r>
    </w:p>
    <w:p>
      <w:pPr>
        <w:pStyle w:val="14"/>
        <w:ind w:left="420"/>
        <w:rPr>
          <w:rFonts w:asciiTheme="minorEastAsia" w:hAnsiTheme="minorEastAsia" w:eastAsiaTheme="minorEastAsia" w:cstheme="minorEastAsia"/>
        </w:rPr>
      </w:pPr>
    </w:p>
    <w:p>
      <w:pPr>
        <w:pStyle w:val="15"/>
        <w:spacing w:after="0"/>
        <w:ind w:left="0" w:leftChars="0" w:firstLine="0" w:firstLineChars="0"/>
        <w:rPr>
          <w:rFonts w:asciiTheme="minorEastAsia" w:hAnsiTheme="minorEastAsia" w:eastAsiaTheme="minorEastAsia" w:cstheme="minorEastAsia"/>
          <w:bCs/>
          <w:sz w:val="32"/>
          <w:szCs w:val="32"/>
        </w:rPr>
      </w:pPr>
      <w:r>
        <w:rPr>
          <w:rFonts w:hint="eastAsia" w:asciiTheme="minorEastAsia" w:hAnsiTheme="minorEastAsia" w:eastAsiaTheme="minorEastAsia" w:cstheme="minorEastAsia"/>
          <w:sz w:val="32"/>
          <w:szCs w:val="32"/>
        </w:rPr>
        <w:t>使用方（章）：内蒙古神东天隆集团股份有限公司大海则煤矿</w:t>
      </w:r>
      <w:r>
        <w:rPr>
          <w:rFonts w:hint="eastAsia" w:asciiTheme="minorEastAsia" w:hAnsiTheme="minorEastAsia" w:eastAsiaTheme="minorEastAsia" w:cstheme="minorEastAsia"/>
          <w:bCs/>
          <w:sz w:val="32"/>
          <w:szCs w:val="32"/>
        </w:rPr>
        <w:t xml:space="preserve">   </w:t>
      </w:r>
    </w:p>
    <w:p>
      <w:pPr>
        <w:rPr>
          <w:rFonts w:asciiTheme="minorEastAsia" w:hAnsiTheme="minorEastAsia" w:eastAsiaTheme="minorEastAsia" w:cstheme="minorEastAsia"/>
          <w:bCs/>
          <w:sz w:val="32"/>
          <w:szCs w:val="32"/>
        </w:rPr>
      </w:pPr>
    </w:p>
    <w:p>
      <w:pPr>
        <w:ind w:left="9600" w:hanging="9600" w:hangingChars="30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bCs/>
          <w:sz w:val="32"/>
          <w:szCs w:val="32"/>
        </w:rPr>
        <w:t xml:space="preserve">单位分管领导：                  </w:t>
      </w:r>
      <w:r>
        <w:rPr>
          <w:rFonts w:hint="eastAsia" w:asciiTheme="minorEastAsia" w:hAnsiTheme="minorEastAsia" w:eastAsiaTheme="minorEastAsia" w:cstheme="minorEastAsia"/>
          <w:sz w:val="32"/>
          <w:szCs w:val="32"/>
        </w:rPr>
        <w:t>经办人：</w:t>
      </w:r>
    </w:p>
    <w:p>
      <w:pPr>
        <w:rPr>
          <w:rFonts w:asciiTheme="minorEastAsia" w:hAnsiTheme="minorEastAsia" w:eastAsiaTheme="minorEastAsia" w:cstheme="minorEastAsia"/>
          <w:bCs/>
          <w:sz w:val="32"/>
          <w:szCs w:val="32"/>
        </w:rPr>
      </w:pPr>
    </w:p>
    <w:p>
      <w:pPr>
        <w:rPr>
          <w:rFonts w:asciiTheme="minorEastAsia" w:hAnsiTheme="minorEastAsia" w:eastAsiaTheme="minorEastAsia" w:cstheme="minorEastAsia"/>
          <w:sz w:val="32"/>
          <w:szCs w:val="32"/>
        </w:rPr>
      </w:pPr>
      <w:r>
        <w:rPr>
          <w:rFonts w:hint="eastAsia" w:asciiTheme="minorEastAsia" w:hAnsiTheme="minorEastAsia" w:eastAsiaTheme="minorEastAsia" w:cstheme="minorEastAsia"/>
          <w:bCs/>
          <w:sz w:val="32"/>
          <w:szCs w:val="32"/>
        </w:rPr>
        <w:t xml:space="preserve">审批日期：          年     月     日                 </w:t>
      </w:r>
    </w:p>
    <w:p>
      <w:pPr>
        <w:pStyle w:val="14"/>
        <w:ind w:left="42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xml:space="preserve"> </w:t>
      </w:r>
    </w:p>
    <w:p>
      <w:pPr>
        <w:rPr>
          <w:rFonts w:asciiTheme="minorEastAsia" w:hAnsiTheme="minorEastAsia" w:eastAsiaTheme="minorEastAsia" w:cstheme="minorEastAsia"/>
          <w:sz w:val="32"/>
          <w:szCs w:val="32"/>
        </w:rPr>
      </w:pPr>
    </w:p>
    <w:p>
      <w:pPr>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审核方（章）：内蒙古神东天隆集团股份有限公司机电动力部</w:t>
      </w:r>
    </w:p>
    <w:p>
      <w:pPr>
        <w:pStyle w:val="14"/>
        <w:ind w:left="0" w:leftChars="0"/>
        <w:rPr>
          <w:rFonts w:asciiTheme="minorEastAsia" w:hAnsiTheme="minorEastAsia" w:eastAsiaTheme="minorEastAsia" w:cstheme="minorEastAsia"/>
          <w:sz w:val="32"/>
          <w:szCs w:val="32"/>
        </w:rPr>
      </w:pPr>
    </w:p>
    <w:p>
      <w:pPr>
        <w:ind w:left="9600" w:hanging="9600" w:hangingChars="30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bCs/>
          <w:sz w:val="32"/>
          <w:szCs w:val="32"/>
        </w:rPr>
        <w:t xml:space="preserve">单位分管领导：                  </w:t>
      </w:r>
      <w:r>
        <w:rPr>
          <w:rFonts w:hint="eastAsia" w:asciiTheme="minorEastAsia" w:hAnsiTheme="minorEastAsia" w:eastAsiaTheme="minorEastAsia" w:cstheme="minorEastAsia"/>
          <w:sz w:val="32"/>
          <w:szCs w:val="32"/>
        </w:rPr>
        <w:t>经办人：</w:t>
      </w:r>
    </w:p>
    <w:p>
      <w:pPr>
        <w:rPr>
          <w:rFonts w:asciiTheme="minorEastAsia" w:hAnsiTheme="minorEastAsia" w:eastAsiaTheme="minorEastAsia" w:cstheme="minorEastAsia"/>
          <w:bCs/>
          <w:sz w:val="32"/>
          <w:szCs w:val="32"/>
        </w:rPr>
      </w:pPr>
    </w:p>
    <w:p>
      <w:pPr>
        <w:pStyle w:val="15"/>
        <w:ind w:left="0" w:leftChars="0" w:firstLine="0" w:firstLineChars="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bCs/>
          <w:sz w:val="32"/>
          <w:szCs w:val="32"/>
        </w:rPr>
        <w:t xml:space="preserve">审批日期：          年     月     日 </w:t>
      </w:r>
    </w:p>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lear" w:pos="4153"/>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lear" w:pos="4153"/>
      </w:tabs>
    </w:pPr>
    <w:r>
      <w:pict>
        <v:shape id="Text Box 2" o:spid="_x0000_s4098" o:spt="202" type="#_x0000_t202" style="position:absolute;left:0pt;margin-left:348.65pt;margin-top:-11.05pt;height:65.3pt;width:87pt;z-index:25166028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">
          <v:path/>
          <v:fill on="f" focussize="0,0"/>
          <v:stroke on="f" joinstyle="miter"/>
          <v:imagedata o:title=""/>
          <o:lock v:ext="edit"/>
          <v:textbox inset="7.19992125984252pt,1.27mm,7.19992125984252pt,1.27mm">
            <w:txbxContent>
              <w:p>
                <w:r>
                  <w:rPr>
                    <w:rFonts w:hint="eastAsia"/>
                  </w:rPr>
                  <w:t>使用方小签：</w:t>
                </w:r>
              </w:p>
              <w:p/>
              <w:p>
                <w:r>
                  <w:rPr>
                    <w:rFonts w:hint="eastAsia"/>
                  </w:rPr>
                  <w:t>审核方小签：</w:t>
                </w:r>
              </w:p>
            </w:txbxContent>
          </v:textbox>
        </v:shape>
      </w:pict>
    </w:r>
    <w:r>
      <w:pict>
        <v:shape id="文本框 2" o:spid="_x0000_s4097" o:spt="202" type="#_x0000_t202" style="position:absolute;left:0pt;margin-top:0pt;height:10.35pt;width:8.7pt;mso-position-horizontal:center;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">
          <v:path arrowok="t"/>
          <v:fill on="f" focussize="0,0"/>
          <v:stroke on="f" weight="0.5pt" joinstyle="miter"/>
          <v:imagedata o:title=""/>
          <o:lock v:ext="edit"/>
          <v:textbox inset="0mm,0mm,0mm,0mm" style="mso-fit-shape-to-text:t;">
            <w:txbxContent>
              <w:p>
                <w:pPr>
                  <w:pStyle w:val="13"/>
                </w:pPr>
                <w:r>
                  <w:fldChar w:fldCharType="begin"/>
                </w:r>
                <w:r>
                  <w:instrText xml:space="preserve"> PAGE  \* MERGEFORMAT </w:instrText>
                </w:r>
                <w:r>
                  <w:fldChar w:fldCharType="separate"/>
                </w:r>
                <w:r>
                  <w:t>1</w:t>
                </w:r>
                <w:r>
                  <w:fldChar w:fldCharType="end"/>
                </w:r>
              </w:p>
            </w:txbxContent>
          </v:textbox>
        </v:shape>
      </w:pict>
    </w:r>
    <w:r>
      <w:rPr>
        <w:rFonts w:hint="eastAsia"/>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8CE403"/>
    <w:multiLevelType w:val="singleLevel"/>
    <w:tmpl w:val="0B8CE403"/>
    <w:lvl w:ilvl="0" w:tentative="0">
      <w:start w:val="2"/>
      <w:numFmt w:val="chineseCounting"/>
      <w:suff w:val="nothing"/>
      <w:lvlText w:val="%1、"/>
      <w:lvlJc w:val="left"/>
      <w:pPr>
        <w:ind w:left="-13"/>
      </w:pPr>
      <w:rPr>
        <w:rFonts w:hint="eastAsia"/>
        <w:sz w:val="32"/>
        <w:szCs w:val="32"/>
      </w:rPr>
    </w:lvl>
  </w:abstractNum>
  <w:abstractNum w:abstractNumId="1">
    <w:nsid w:val="68387181"/>
    <w:multiLevelType w:val="multilevel"/>
    <w:tmpl w:val="68387181"/>
    <w:lvl w:ilvl="0" w:tentative="0">
      <w:start w:val="1"/>
      <w:numFmt w:val="decimal"/>
      <w:lvlText w:val="%1."/>
      <w:lvlJc w:val="left"/>
      <w:pPr>
        <w:tabs>
          <w:tab w:val="left" w:pos="397"/>
        </w:tabs>
        <w:ind w:left="0" w:firstLine="0"/>
      </w:pPr>
      <w:rPr>
        <w:rFonts w:hint="eastAsia"/>
      </w:rPr>
    </w:lvl>
    <w:lvl w:ilvl="1" w:tentative="0">
      <w:start w:val="1"/>
      <w:numFmt w:val="decimal"/>
      <w:lvlText w:val="%2)"/>
      <w:lvlJc w:val="left"/>
      <w:pPr>
        <w:tabs>
          <w:tab w:val="left" w:pos="0"/>
        </w:tabs>
        <w:ind w:left="0" w:firstLine="0"/>
      </w:pPr>
      <w:rPr>
        <w:rFonts w:hint="eastAsia"/>
      </w:rPr>
    </w:lvl>
    <w:lvl w:ilvl="2" w:tentative="0">
      <w:start w:val="1"/>
      <w:numFmt w:val="lowerRoman"/>
      <w:lvlText w:val="%3."/>
      <w:lvlJc w:val="right"/>
      <w:pPr>
        <w:tabs>
          <w:tab w:val="left" w:pos="1685"/>
        </w:tabs>
        <w:ind w:left="1685" w:hanging="420"/>
      </w:pPr>
    </w:lvl>
    <w:lvl w:ilvl="3" w:tentative="0">
      <w:start w:val="1"/>
      <w:numFmt w:val="decimal"/>
      <w:lvlText w:val="%4."/>
      <w:lvlJc w:val="left"/>
      <w:pPr>
        <w:tabs>
          <w:tab w:val="left" w:pos="2105"/>
        </w:tabs>
        <w:ind w:left="2105" w:hanging="420"/>
      </w:pPr>
    </w:lvl>
    <w:lvl w:ilvl="4" w:tentative="0">
      <w:start w:val="1"/>
      <w:numFmt w:val="lowerLetter"/>
      <w:lvlText w:val="%5)"/>
      <w:lvlJc w:val="left"/>
      <w:pPr>
        <w:tabs>
          <w:tab w:val="left" w:pos="2525"/>
        </w:tabs>
        <w:ind w:left="2525" w:hanging="420"/>
      </w:pPr>
    </w:lvl>
    <w:lvl w:ilvl="5" w:tentative="0">
      <w:start w:val="1"/>
      <w:numFmt w:val="lowerRoman"/>
      <w:lvlText w:val="%6."/>
      <w:lvlJc w:val="right"/>
      <w:pPr>
        <w:tabs>
          <w:tab w:val="left" w:pos="2945"/>
        </w:tabs>
        <w:ind w:left="2945" w:hanging="420"/>
      </w:pPr>
    </w:lvl>
    <w:lvl w:ilvl="6" w:tentative="0">
      <w:start w:val="1"/>
      <w:numFmt w:val="decimal"/>
      <w:lvlText w:val="%7."/>
      <w:lvlJc w:val="left"/>
      <w:pPr>
        <w:tabs>
          <w:tab w:val="left" w:pos="3365"/>
        </w:tabs>
        <w:ind w:left="3365" w:hanging="420"/>
      </w:pPr>
    </w:lvl>
    <w:lvl w:ilvl="7" w:tentative="0">
      <w:start w:val="1"/>
      <w:numFmt w:val="lowerLetter"/>
      <w:lvlText w:val="%8)"/>
      <w:lvlJc w:val="left"/>
      <w:pPr>
        <w:tabs>
          <w:tab w:val="left" w:pos="3785"/>
        </w:tabs>
        <w:ind w:left="3785" w:hanging="420"/>
      </w:pPr>
    </w:lvl>
    <w:lvl w:ilvl="8" w:tentative="0">
      <w:start w:val="1"/>
      <w:numFmt w:val="lowerRoman"/>
      <w:lvlText w:val="%9."/>
      <w:lvlJc w:val="right"/>
      <w:pPr>
        <w:tabs>
          <w:tab w:val="left" w:pos="4205"/>
        </w:tabs>
        <w:ind w:left="420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GVlODc1OGU0MjBlYzM4MGE0NjgwNTY5NDkzOWUwOWEifQ=="/>
  </w:docVars>
  <w:rsids>
    <w:rsidRoot w:val="29FF6835"/>
    <w:rsid w:val="00011F19"/>
    <w:rsid w:val="0005059C"/>
    <w:rsid w:val="0009745F"/>
    <w:rsid w:val="000A3433"/>
    <w:rsid w:val="001633B2"/>
    <w:rsid w:val="00183FD4"/>
    <w:rsid w:val="001C6DE7"/>
    <w:rsid w:val="001E684C"/>
    <w:rsid w:val="001E7FA5"/>
    <w:rsid w:val="002226C4"/>
    <w:rsid w:val="00236394"/>
    <w:rsid w:val="0035217A"/>
    <w:rsid w:val="003F5A85"/>
    <w:rsid w:val="004325CA"/>
    <w:rsid w:val="0046375D"/>
    <w:rsid w:val="004B6B2A"/>
    <w:rsid w:val="004F030F"/>
    <w:rsid w:val="004F3AAC"/>
    <w:rsid w:val="00504AC6"/>
    <w:rsid w:val="00512C19"/>
    <w:rsid w:val="005837FE"/>
    <w:rsid w:val="005A0FE5"/>
    <w:rsid w:val="005B552B"/>
    <w:rsid w:val="005B6482"/>
    <w:rsid w:val="005F50E1"/>
    <w:rsid w:val="00695CED"/>
    <w:rsid w:val="006A4FA6"/>
    <w:rsid w:val="006B613A"/>
    <w:rsid w:val="006C549F"/>
    <w:rsid w:val="006E570B"/>
    <w:rsid w:val="00706EFB"/>
    <w:rsid w:val="0075257F"/>
    <w:rsid w:val="007A3DFF"/>
    <w:rsid w:val="0081323F"/>
    <w:rsid w:val="008A3095"/>
    <w:rsid w:val="008A62AB"/>
    <w:rsid w:val="008D1E26"/>
    <w:rsid w:val="009D7A5B"/>
    <w:rsid w:val="00A43506"/>
    <w:rsid w:val="00B127C2"/>
    <w:rsid w:val="00BC1A36"/>
    <w:rsid w:val="00BC1C6C"/>
    <w:rsid w:val="00BC1D6B"/>
    <w:rsid w:val="00BD76B6"/>
    <w:rsid w:val="00C36AEE"/>
    <w:rsid w:val="00CC4538"/>
    <w:rsid w:val="00CE05A7"/>
    <w:rsid w:val="00D0039C"/>
    <w:rsid w:val="00D7335A"/>
    <w:rsid w:val="00DC484E"/>
    <w:rsid w:val="00EE5F32"/>
    <w:rsid w:val="00F06314"/>
    <w:rsid w:val="00F67152"/>
    <w:rsid w:val="00F71012"/>
    <w:rsid w:val="00FF0138"/>
    <w:rsid w:val="014852B3"/>
    <w:rsid w:val="02131202"/>
    <w:rsid w:val="0247556A"/>
    <w:rsid w:val="027D2D3A"/>
    <w:rsid w:val="0287161F"/>
    <w:rsid w:val="02E1776D"/>
    <w:rsid w:val="03196F07"/>
    <w:rsid w:val="031D70C0"/>
    <w:rsid w:val="03634626"/>
    <w:rsid w:val="036839EA"/>
    <w:rsid w:val="03782593"/>
    <w:rsid w:val="038D3F94"/>
    <w:rsid w:val="03F11B31"/>
    <w:rsid w:val="042454BB"/>
    <w:rsid w:val="043B5C38"/>
    <w:rsid w:val="04472FBC"/>
    <w:rsid w:val="045521C0"/>
    <w:rsid w:val="045C3F97"/>
    <w:rsid w:val="05452235"/>
    <w:rsid w:val="054C0243"/>
    <w:rsid w:val="055C4C7F"/>
    <w:rsid w:val="05791EDF"/>
    <w:rsid w:val="058142D4"/>
    <w:rsid w:val="05EC445F"/>
    <w:rsid w:val="05F81055"/>
    <w:rsid w:val="0633696A"/>
    <w:rsid w:val="064632A0"/>
    <w:rsid w:val="066619DB"/>
    <w:rsid w:val="06E65352"/>
    <w:rsid w:val="06F35CC1"/>
    <w:rsid w:val="070E6657"/>
    <w:rsid w:val="07133C6D"/>
    <w:rsid w:val="071E57A9"/>
    <w:rsid w:val="07506C6F"/>
    <w:rsid w:val="07577731"/>
    <w:rsid w:val="07A0475C"/>
    <w:rsid w:val="07B40FAC"/>
    <w:rsid w:val="07C02047"/>
    <w:rsid w:val="07CD4764"/>
    <w:rsid w:val="07FD6DF7"/>
    <w:rsid w:val="0865499C"/>
    <w:rsid w:val="08730E67"/>
    <w:rsid w:val="08744BDF"/>
    <w:rsid w:val="08835E87"/>
    <w:rsid w:val="0888779C"/>
    <w:rsid w:val="08931509"/>
    <w:rsid w:val="08A70D25"/>
    <w:rsid w:val="08DC72D4"/>
    <w:rsid w:val="08E9737B"/>
    <w:rsid w:val="09544782"/>
    <w:rsid w:val="09AA5577"/>
    <w:rsid w:val="09B648E9"/>
    <w:rsid w:val="09B94BC9"/>
    <w:rsid w:val="0A1A3FBC"/>
    <w:rsid w:val="0A3B7763"/>
    <w:rsid w:val="0B0859F4"/>
    <w:rsid w:val="0B0E17DD"/>
    <w:rsid w:val="0B3A2110"/>
    <w:rsid w:val="0B852E18"/>
    <w:rsid w:val="0C0E58C9"/>
    <w:rsid w:val="0C2F779B"/>
    <w:rsid w:val="0C63679A"/>
    <w:rsid w:val="0CF72931"/>
    <w:rsid w:val="0D9725E2"/>
    <w:rsid w:val="0DA47D15"/>
    <w:rsid w:val="0DC14423"/>
    <w:rsid w:val="0E3E7B9F"/>
    <w:rsid w:val="0E5434E9"/>
    <w:rsid w:val="0E7771D7"/>
    <w:rsid w:val="0EB67D00"/>
    <w:rsid w:val="0F537893"/>
    <w:rsid w:val="0FE12B5A"/>
    <w:rsid w:val="0FEF19BC"/>
    <w:rsid w:val="10371EDE"/>
    <w:rsid w:val="105C48D7"/>
    <w:rsid w:val="10616A49"/>
    <w:rsid w:val="10631ED1"/>
    <w:rsid w:val="10AA1950"/>
    <w:rsid w:val="10AC5916"/>
    <w:rsid w:val="10D108C6"/>
    <w:rsid w:val="10F92125"/>
    <w:rsid w:val="115B06EA"/>
    <w:rsid w:val="117A5E72"/>
    <w:rsid w:val="11DF1E87"/>
    <w:rsid w:val="123F506C"/>
    <w:rsid w:val="12575356"/>
    <w:rsid w:val="12921862"/>
    <w:rsid w:val="129F786D"/>
    <w:rsid w:val="12A26ED1"/>
    <w:rsid w:val="12E14FB0"/>
    <w:rsid w:val="12FB03D7"/>
    <w:rsid w:val="13257202"/>
    <w:rsid w:val="134A658F"/>
    <w:rsid w:val="13545D39"/>
    <w:rsid w:val="13B567D8"/>
    <w:rsid w:val="13C01E1D"/>
    <w:rsid w:val="141C6857"/>
    <w:rsid w:val="144F0EEE"/>
    <w:rsid w:val="145E0C1D"/>
    <w:rsid w:val="14BF5434"/>
    <w:rsid w:val="14CE5342"/>
    <w:rsid w:val="150A2606"/>
    <w:rsid w:val="15853F88"/>
    <w:rsid w:val="15B80929"/>
    <w:rsid w:val="15C726E4"/>
    <w:rsid w:val="16D43419"/>
    <w:rsid w:val="16DB6903"/>
    <w:rsid w:val="16E65780"/>
    <w:rsid w:val="17514A69"/>
    <w:rsid w:val="178564C1"/>
    <w:rsid w:val="17F17A51"/>
    <w:rsid w:val="181B1DAD"/>
    <w:rsid w:val="18512847"/>
    <w:rsid w:val="18952BCA"/>
    <w:rsid w:val="18954E2A"/>
    <w:rsid w:val="18A12031"/>
    <w:rsid w:val="18A961DF"/>
    <w:rsid w:val="18DA45EA"/>
    <w:rsid w:val="196D545F"/>
    <w:rsid w:val="1A002777"/>
    <w:rsid w:val="1A0215F1"/>
    <w:rsid w:val="1A18186E"/>
    <w:rsid w:val="1A6967D6"/>
    <w:rsid w:val="1B3634A0"/>
    <w:rsid w:val="1B915FA6"/>
    <w:rsid w:val="1BA17641"/>
    <w:rsid w:val="1C0E2142"/>
    <w:rsid w:val="1C253A5D"/>
    <w:rsid w:val="1C3A1F70"/>
    <w:rsid w:val="1C9B22E3"/>
    <w:rsid w:val="1CC45CDD"/>
    <w:rsid w:val="1CC744AA"/>
    <w:rsid w:val="1CE95F1A"/>
    <w:rsid w:val="1D40010F"/>
    <w:rsid w:val="1D8F1E47"/>
    <w:rsid w:val="1DF412C9"/>
    <w:rsid w:val="1E220F0E"/>
    <w:rsid w:val="1E42510C"/>
    <w:rsid w:val="1E616D7F"/>
    <w:rsid w:val="1EA90CE7"/>
    <w:rsid w:val="1F036180"/>
    <w:rsid w:val="1F1A3993"/>
    <w:rsid w:val="1F446BAE"/>
    <w:rsid w:val="1F4A76DC"/>
    <w:rsid w:val="1F784B5D"/>
    <w:rsid w:val="1FAE4688"/>
    <w:rsid w:val="1FC93DA2"/>
    <w:rsid w:val="1FCD6638"/>
    <w:rsid w:val="1FF04A0B"/>
    <w:rsid w:val="20191E9C"/>
    <w:rsid w:val="2023305A"/>
    <w:rsid w:val="202B65F2"/>
    <w:rsid w:val="204D1910"/>
    <w:rsid w:val="20517888"/>
    <w:rsid w:val="208A4B48"/>
    <w:rsid w:val="20983709"/>
    <w:rsid w:val="20E94A43"/>
    <w:rsid w:val="211C7E96"/>
    <w:rsid w:val="219E4D4F"/>
    <w:rsid w:val="21F77FBB"/>
    <w:rsid w:val="2227453D"/>
    <w:rsid w:val="224F7DF7"/>
    <w:rsid w:val="22562288"/>
    <w:rsid w:val="22626F2D"/>
    <w:rsid w:val="22665141"/>
    <w:rsid w:val="22981D85"/>
    <w:rsid w:val="22984AA4"/>
    <w:rsid w:val="229F2CE2"/>
    <w:rsid w:val="22C821B5"/>
    <w:rsid w:val="23213072"/>
    <w:rsid w:val="23851FDE"/>
    <w:rsid w:val="23BC3AB0"/>
    <w:rsid w:val="23D36806"/>
    <w:rsid w:val="23E032FC"/>
    <w:rsid w:val="23FF754E"/>
    <w:rsid w:val="24230AEB"/>
    <w:rsid w:val="243D33F7"/>
    <w:rsid w:val="244A624A"/>
    <w:rsid w:val="24621D5D"/>
    <w:rsid w:val="24763D61"/>
    <w:rsid w:val="249D5ACA"/>
    <w:rsid w:val="24EF7670"/>
    <w:rsid w:val="25497BEE"/>
    <w:rsid w:val="25777093"/>
    <w:rsid w:val="25B720D4"/>
    <w:rsid w:val="25C1100C"/>
    <w:rsid w:val="25DA3E7C"/>
    <w:rsid w:val="25E27C8E"/>
    <w:rsid w:val="26296BB1"/>
    <w:rsid w:val="265579A6"/>
    <w:rsid w:val="26955D7D"/>
    <w:rsid w:val="26B51714"/>
    <w:rsid w:val="26CF59AB"/>
    <w:rsid w:val="26F51721"/>
    <w:rsid w:val="27167136"/>
    <w:rsid w:val="2753038A"/>
    <w:rsid w:val="276854B7"/>
    <w:rsid w:val="2784013E"/>
    <w:rsid w:val="2790513A"/>
    <w:rsid w:val="27F51441"/>
    <w:rsid w:val="28054A58"/>
    <w:rsid w:val="28520641"/>
    <w:rsid w:val="28763103"/>
    <w:rsid w:val="28D47B5D"/>
    <w:rsid w:val="29622B06"/>
    <w:rsid w:val="29802F8C"/>
    <w:rsid w:val="29A37FAD"/>
    <w:rsid w:val="29EC6874"/>
    <w:rsid w:val="29EE7EF6"/>
    <w:rsid w:val="29FD45DD"/>
    <w:rsid w:val="29FF6835"/>
    <w:rsid w:val="2A2102CB"/>
    <w:rsid w:val="2A404C37"/>
    <w:rsid w:val="2AA809EC"/>
    <w:rsid w:val="2AAA4765"/>
    <w:rsid w:val="2ADC0696"/>
    <w:rsid w:val="2B8355E9"/>
    <w:rsid w:val="2BBE1B4A"/>
    <w:rsid w:val="2BC72C17"/>
    <w:rsid w:val="2C622E1D"/>
    <w:rsid w:val="2C713CCA"/>
    <w:rsid w:val="2D7C3A6A"/>
    <w:rsid w:val="2DE97281"/>
    <w:rsid w:val="2E0423DE"/>
    <w:rsid w:val="2E3B5097"/>
    <w:rsid w:val="2F065CE2"/>
    <w:rsid w:val="2F1948E5"/>
    <w:rsid w:val="2F4131BE"/>
    <w:rsid w:val="2F8F217B"/>
    <w:rsid w:val="2FDE6C5E"/>
    <w:rsid w:val="300874F0"/>
    <w:rsid w:val="303B07D0"/>
    <w:rsid w:val="303F72F5"/>
    <w:rsid w:val="306E3B3E"/>
    <w:rsid w:val="30CC2F55"/>
    <w:rsid w:val="31127558"/>
    <w:rsid w:val="3134375D"/>
    <w:rsid w:val="31562B39"/>
    <w:rsid w:val="31B6685F"/>
    <w:rsid w:val="31D125D7"/>
    <w:rsid w:val="31E3055C"/>
    <w:rsid w:val="320F6A40"/>
    <w:rsid w:val="32101BD2"/>
    <w:rsid w:val="323808A8"/>
    <w:rsid w:val="324B1493"/>
    <w:rsid w:val="326F1DF0"/>
    <w:rsid w:val="32792C27"/>
    <w:rsid w:val="33164BE9"/>
    <w:rsid w:val="33224DA6"/>
    <w:rsid w:val="332D5F33"/>
    <w:rsid w:val="33541711"/>
    <w:rsid w:val="335F00B6"/>
    <w:rsid w:val="337A36A8"/>
    <w:rsid w:val="339071EC"/>
    <w:rsid w:val="339C6C14"/>
    <w:rsid w:val="33EF143A"/>
    <w:rsid w:val="340F5638"/>
    <w:rsid w:val="341D5FA7"/>
    <w:rsid w:val="342323F8"/>
    <w:rsid w:val="345614B9"/>
    <w:rsid w:val="346516FC"/>
    <w:rsid w:val="34C56129"/>
    <w:rsid w:val="35246EC1"/>
    <w:rsid w:val="35610116"/>
    <w:rsid w:val="35C93186"/>
    <w:rsid w:val="36562417"/>
    <w:rsid w:val="366B28CE"/>
    <w:rsid w:val="36B83D65"/>
    <w:rsid w:val="36F154C9"/>
    <w:rsid w:val="370055E2"/>
    <w:rsid w:val="37250D2B"/>
    <w:rsid w:val="374F6B69"/>
    <w:rsid w:val="378974B0"/>
    <w:rsid w:val="37A12A4B"/>
    <w:rsid w:val="37BC1633"/>
    <w:rsid w:val="380A68EF"/>
    <w:rsid w:val="38393E83"/>
    <w:rsid w:val="38464C31"/>
    <w:rsid w:val="386F570A"/>
    <w:rsid w:val="38871B5E"/>
    <w:rsid w:val="38A273E4"/>
    <w:rsid w:val="38B457F0"/>
    <w:rsid w:val="39823270"/>
    <w:rsid w:val="399A135C"/>
    <w:rsid w:val="39BF34CA"/>
    <w:rsid w:val="39C246B3"/>
    <w:rsid w:val="39EE7A9E"/>
    <w:rsid w:val="3A1E4827"/>
    <w:rsid w:val="3A232F1C"/>
    <w:rsid w:val="3A53071B"/>
    <w:rsid w:val="3ACC0A6B"/>
    <w:rsid w:val="3AE25855"/>
    <w:rsid w:val="3B382697"/>
    <w:rsid w:val="3B7F5231"/>
    <w:rsid w:val="3BB80C52"/>
    <w:rsid w:val="3BCF35CE"/>
    <w:rsid w:val="3BE86E9B"/>
    <w:rsid w:val="3BF82E56"/>
    <w:rsid w:val="3C091758"/>
    <w:rsid w:val="3C2C406A"/>
    <w:rsid w:val="3C7D561C"/>
    <w:rsid w:val="3D3E076F"/>
    <w:rsid w:val="3DBB10C7"/>
    <w:rsid w:val="3DC06F88"/>
    <w:rsid w:val="3DE73EAF"/>
    <w:rsid w:val="3E265A58"/>
    <w:rsid w:val="3E2C4ED3"/>
    <w:rsid w:val="3E352CB5"/>
    <w:rsid w:val="3E7A2248"/>
    <w:rsid w:val="3E9079E7"/>
    <w:rsid w:val="3EA846BF"/>
    <w:rsid w:val="3EB22213"/>
    <w:rsid w:val="3F0911FF"/>
    <w:rsid w:val="3FB62E0C"/>
    <w:rsid w:val="3FBE7F13"/>
    <w:rsid w:val="3FF73B50"/>
    <w:rsid w:val="400B3158"/>
    <w:rsid w:val="40512F80"/>
    <w:rsid w:val="407C5E04"/>
    <w:rsid w:val="4104560B"/>
    <w:rsid w:val="41492E24"/>
    <w:rsid w:val="419E3250"/>
    <w:rsid w:val="41AC096A"/>
    <w:rsid w:val="41F8770C"/>
    <w:rsid w:val="42044303"/>
    <w:rsid w:val="42232BD5"/>
    <w:rsid w:val="424D3EFC"/>
    <w:rsid w:val="42787876"/>
    <w:rsid w:val="429E4757"/>
    <w:rsid w:val="42A4609D"/>
    <w:rsid w:val="42A930FC"/>
    <w:rsid w:val="42B51AA1"/>
    <w:rsid w:val="42B61086"/>
    <w:rsid w:val="42BF00B6"/>
    <w:rsid w:val="42BF46CD"/>
    <w:rsid w:val="42CE4911"/>
    <w:rsid w:val="42D31245"/>
    <w:rsid w:val="42E934F8"/>
    <w:rsid w:val="42EB54C2"/>
    <w:rsid w:val="4304014F"/>
    <w:rsid w:val="43285192"/>
    <w:rsid w:val="435F7582"/>
    <w:rsid w:val="43917E18"/>
    <w:rsid w:val="43942CAB"/>
    <w:rsid w:val="43C415EA"/>
    <w:rsid w:val="44682AAE"/>
    <w:rsid w:val="449974D6"/>
    <w:rsid w:val="45AF0A29"/>
    <w:rsid w:val="45C25D82"/>
    <w:rsid w:val="45D11E71"/>
    <w:rsid w:val="4608516A"/>
    <w:rsid w:val="460F36E1"/>
    <w:rsid w:val="462A789C"/>
    <w:rsid w:val="466753B0"/>
    <w:rsid w:val="46A44719"/>
    <w:rsid w:val="46BF3AEB"/>
    <w:rsid w:val="47010E51"/>
    <w:rsid w:val="4714323A"/>
    <w:rsid w:val="47157A16"/>
    <w:rsid w:val="47394A4E"/>
    <w:rsid w:val="474F593B"/>
    <w:rsid w:val="476B4E24"/>
    <w:rsid w:val="477A6BE6"/>
    <w:rsid w:val="47841A42"/>
    <w:rsid w:val="479A4769"/>
    <w:rsid w:val="47AA594C"/>
    <w:rsid w:val="47D66741"/>
    <w:rsid w:val="481B50B2"/>
    <w:rsid w:val="48236291"/>
    <w:rsid w:val="486C0E54"/>
    <w:rsid w:val="488520C4"/>
    <w:rsid w:val="48AE4FC8"/>
    <w:rsid w:val="490D6193"/>
    <w:rsid w:val="49164BF3"/>
    <w:rsid w:val="49CB1BAA"/>
    <w:rsid w:val="49E8450A"/>
    <w:rsid w:val="49F97C56"/>
    <w:rsid w:val="4A583DF2"/>
    <w:rsid w:val="4A914BA1"/>
    <w:rsid w:val="4ACD334C"/>
    <w:rsid w:val="4B125CE2"/>
    <w:rsid w:val="4B182BCD"/>
    <w:rsid w:val="4B272E10"/>
    <w:rsid w:val="4B49722A"/>
    <w:rsid w:val="4B5736F5"/>
    <w:rsid w:val="4B867902"/>
    <w:rsid w:val="4B903DBB"/>
    <w:rsid w:val="4BB506B7"/>
    <w:rsid w:val="4BD27749"/>
    <w:rsid w:val="4BD50ABE"/>
    <w:rsid w:val="4BF86B01"/>
    <w:rsid w:val="4C4243A5"/>
    <w:rsid w:val="4C8E3029"/>
    <w:rsid w:val="4CAE37E9"/>
    <w:rsid w:val="4CB22BAD"/>
    <w:rsid w:val="4CB661B8"/>
    <w:rsid w:val="4CE54D31"/>
    <w:rsid w:val="4CF573A3"/>
    <w:rsid w:val="4D117BEA"/>
    <w:rsid w:val="4D1F1116"/>
    <w:rsid w:val="4D471926"/>
    <w:rsid w:val="4D4A4BA4"/>
    <w:rsid w:val="4D9A7B43"/>
    <w:rsid w:val="4DBC3CE3"/>
    <w:rsid w:val="4DF55447"/>
    <w:rsid w:val="4E5C54C6"/>
    <w:rsid w:val="4E796078"/>
    <w:rsid w:val="4E9F062F"/>
    <w:rsid w:val="4F3D6B35"/>
    <w:rsid w:val="4F8C3B89"/>
    <w:rsid w:val="50151DD1"/>
    <w:rsid w:val="50305F10"/>
    <w:rsid w:val="50380B73"/>
    <w:rsid w:val="50412BC6"/>
    <w:rsid w:val="50B67110"/>
    <w:rsid w:val="50BA3A13"/>
    <w:rsid w:val="50C43019"/>
    <w:rsid w:val="50E772C9"/>
    <w:rsid w:val="51015BCE"/>
    <w:rsid w:val="514813E1"/>
    <w:rsid w:val="51AB7B8F"/>
    <w:rsid w:val="51CB371B"/>
    <w:rsid w:val="51EA0943"/>
    <w:rsid w:val="52076322"/>
    <w:rsid w:val="52630641"/>
    <w:rsid w:val="52742DDF"/>
    <w:rsid w:val="52E33AC0"/>
    <w:rsid w:val="5334431C"/>
    <w:rsid w:val="53BA30D0"/>
    <w:rsid w:val="53D90045"/>
    <w:rsid w:val="54273E81"/>
    <w:rsid w:val="54483F21"/>
    <w:rsid w:val="54905348"/>
    <w:rsid w:val="54C55B73"/>
    <w:rsid w:val="54DD6B22"/>
    <w:rsid w:val="54ED02F9"/>
    <w:rsid w:val="556B3038"/>
    <w:rsid w:val="55C01C87"/>
    <w:rsid w:val="56837A94"/>
    <w:rsid w:val="568A43BF"/>
    <w:rsid w:val="56D36F95"/>
    <w:rsid w:val="56D5543B"/>
    <w:rsid w:val="56F01ACA"/>
    <w:rsid w:val="570B49A7"/>
    <w:rsid w:val="57323268"/>
    <w:rsid w:val="57580F21"/>
    <w:rsid w:val="57F30C49"/>
    <w:rsid w:val="581E27FC"/>
    <w:rsid w:val="58613E05"/>
    <w:rsid w:val="587F332E"/>
    <w:rsid w:val="58932E04"/>
    <w:rsid w:val="589E6E07"/>
    <w:rsid w:val="58A27F7A"/>
    <w:rsid w:val="58B2640F"/>
    <w:rsid w:val="58B72C7E"/>
    <w:rsid w:val="58E40592"/>
    <w:rsid w:val="58E93DFA"/>
    <w:rsid w:val="58F21EBB"/>
    <w:rsid w:val="58FD56C7"/>
    <w:rsid w:val="596D2D7B"/>
    <w:rsid w:val="599524BC"/>
    <w:rsid w:val="59D40607"/>
    <w:rsid w:val="5A1D26FE"/>
    <w:rsid w:val="5A4F3D2B"/>
    <w:rsid w:val="5A6A2857"/>
    <w:rsid w:val="5A872117"/>
    <w:rsid w:val="5AEE394A"/>
    <w:rsid w:val="5AFE3B8D"/>
    <w:rsid w:val="5B0403E5"/>
    <w:rsid w:val="5B123195"/>
    <w:rsid w:val="5B305D11"/>
    <w:rsid w:val="5CDC2A8F"/>
    <w:rsid w:val="5CE81DB8"/>
    <w:rsid w:val="5D8F14B4"/>
    <w:rsid w:val="5DB50C85"/>
    <w:rsid w:val="5E2356B9"/>
    <w:rsid w:val="5E5D3BC2"/>
    <w:rsid w:val="5EBB6C5F"/>
    <w:rsid w:val="5EFB5C4F"/>
    <w:rsid w:val="5F121FCF"/>
    <w:rsid w:val="5F3A1EC0"/>
    <w:rsid w:val="5F41229A"/>
    <w:rsid w:val="5F6845F0"/>
    <w:rsid w:val="5FB54A36"/>
    <w:rsid w:val="5FC37153"/>
    <w:rsid w:val="5FC4513D"/>
    <w:rsid w:val="5FFD39A2"/>
    <w:rsid w:val="60363DC9"/>
    <w:rsid w:val="60637B4B"/>
    <w:rsid w:val="60E77712"/>
    <w:rsid w:val="611B57B4"/>
    <w:rsid w:val="611C6759"/>
    <w:rsid w:val="61355061"/>
    <w:rsid w:val="616951A9"/>
    <w:rsid w:val="619302D2"/>
    <w:rsid w:val="619C5EAE"/>
    <w:rsid w:val="619D5782"/>
    <w:rsid w:val="61B96A60"/>
    <w:rsid w:val="61F562F2"/>
    <w:rsid w:val="625E7607"/>
    <w:rsid w:val="62C5556D"/>
    <w:rsid w:val="62FD0BCE"/>
    <w:rsid w:val="6310310F"/>
    <w:rsid w:val="63B530CD"/>
    <w:rsid w:val="63C11BFC"/>
    <w:rsid w:val="63EA14A8"/>
    <w:rsid w:val="64254D75"/>
    <w:rsid w:val="642D5A61"/>
    <w:rsid w:val="6499036E"/>
    <w:rsid w:val="64E21E2A"/>
    <w:rsid w:val="64E831B8"/>
    <w:rsid w:val="64F63B27"/>
    <w:rsid w:val="6565066B"/>
    <w:rsid w:val="6574061E"/>
    <w:rsid w:val="65750EF0"/>
    <w:rsid w:val="65A92947"/>
    <w:rsid w:val="65C76945"/>
    <w:rsid w:val="65D26342"/>
    <w:rsid w:val="65D976D1"/>
    <w:rsid w:val="663A115E"/>
    <w:rsid w:val="66544FA9"/>
    <w:rsid w:val="667F6584"/>
    <w:rsid w:val="66805629"/>
    <w:rsid w:val="669B2BD8"/>
    <w:rsid w:val="66AF0431"/>
    <w:rsid w:val="66C522D0"/>
    <w:rsid w:val="66CD4E4A"/>
    <w:rsid w:val="66E83943"/>
    <w:rsid w:val="66F347C2"/>
    <w:rsid w:val="66F66060"/>
    <w:rsid w:val="67097219"/>
    <w:rsid w:val="674C7A2E"/>
    <w:rsid w:val="674D1981"/>
    <w:rsid w:val="677D1A15"/>
    <w:rsid w:val="67D619EE"/>
    <w:rsid w:val="67DF6AF4"/>
    <w:rsid w:val="67E4410B"/>
    <w:rsid w:val="682E182A"/>
    <w:rsid w:val="68774F7F"/>
    <w:rsid w:val="688D02FE"/>
    <w:rsid w:val="689A7AE8"/>
    <w:rsid w:val="689B4B78"/>
    <w:rsid w:val="689D724E"/>
    <w:rsid w:val="68EF4B15"/>
    <w:rsid w:val="6905258B"/>
    <w:rsid w:val="695403BA"/>
    <w:rsid w:val="69807E63"/>
    <w:rsid w:val="69D8171B"/>
    <w:rsid w:val="6A1B7B8C"/>
    <w:rsid w:val="6A7D0134"/>
    <w:rsid w:val="6A966CEC"/>
    <w:rsid w:val="6B3453A9"/>
    <w:rsid w:val="6B7834E8"/>
    <w:rsid w:val="6BD526E8"/>
    <w:rsid w:val="6C7B37A2"/>
    <w:rsid w:val="6C9E3D70"/>
    <w:rsid w:val="6D14517D"/>
    <w:rsid w:val="6D2E1003"/>
    <w:rsid w:val="6D6D4BA2"/>
    <w:rsid w:val="6D785A21"/>
    <w:rsid w:val="6E1E4715"/>
    <w:rsid w:val="6E5518BE"/>
    <w:rsid w:val="6E557B10"/>
    <w:rsid w:val="6E7A1325"/>
    <w:rsid w:val="6ECD6B0B"/>
    <w:rsid w:val="6EED5F9B"/>
    <w:rsid w:val="6EF410D7"/>
    <w:rsid w:val="6F312BDD"/>
    <w:rsid w:val="6F3D0AF9"/>
    <w:rsid w:val="6F451933"/>
    <w:rsid w:val="6FA348AB"/>
    <w:rsid w:val="6FB54B43"/>
    <w:rsid w:val="70353D6B"/>
    <w:rsid w:val="70600BFB"/>
    <w:rsid w:val="706C324C"/>
    <w:rsid w:val="70BF26EE"/>
    <w:rsid w:val="70F82510"/>
    <w:rsid w:val="71131F13"/>
    <w:rsid w:val="713D663A"/>
    <w:rsid w:val="71434477"/>
    <w:rsid w:val="714B0D57"/>
    <w:rsid w:val="71777D9E"/>
    <w:rsid w:val="718B3849"/>
    <w:rsid w:val="71922E29"/>
    <w:rsid w:val="71C34FDA"/>
    <w:rsid w:val="71EE0620"/>
    <w:rsid w:val="72331F17"/>
    <w:rsid w:val="723D444A"/>
    <w:rsid w:val="72405BF5"/>
    <w:rsid w:val="72604CD6"/>
    <w:rsid w:val="727C598F"/>
    <w:rsid w:val="729C4FB2"/>
    <w:rsid w:val="736E6EBF"/>
    <w:rsid w:val="73AA0F95"/>
    <w:rsid w:val="73CF3EC1"/>
    <w:rsid w:val="73D02B91"/>
    <w:rsid w:val="74002EB7"/>
    <w:rsid w:val="74004EF7"/>
    <w:rsid w:val="74401E66"/>
    <w:rsid w:val="74884070"/>
    <w:rsid w:val="74AD5720"/>
    <w:rsid w:val="74F46D19"/>
    <w:rsid w:val="74FD4949"/>
    <w:rsid w:val="75132C7D"/>
    <w:rsid w:val="75695AF9"/>
    <w:rsid w:val="75CD2682"/>
    <w:rsid w:val="760B188F"/>
    <w:rsid w:val="764857BA"/>
    <w:rsid w:val="76AB6E17"/>
    <w:rsid w:val="76BC3479"/>
    <w:rsid w:val="76DA5EF6"/>
    <w:rsid w:val="772B58B2"/>
    <w:rsid w:val="77F064C5"/>
    <w:rsid w:val="77F166BA"/>
    <w:rsid w:val="77F71C38"/>
    <w:rsid w:val="78197E01"/>
    <w:rsid w:val="783C764B"/>
    <w:rsid w:val="7860777D"/>
    <w:rsid w:val="78C11D93"/>
    <w:rsid w:val="78E74258"/>
    <w:rsid w:val="78F85C68"/>
    <w:rsid w:val="791A3E30"/>
    <w:rsid w:val="79254583"/>
    <w:rsid w:val="79517126"/>
    <w:rsid w:val="79F95D73"/>
    <w:rsid w:val="7A2B1F18"/>
    <w:rsid w:val="7A30672E"/>
    <w:rsid w:val="7A3945A5"/>
    <w:rsid w:val="7AA83683"/>
    <w:rsid w:val="7AE04C06"/>
    <w:rsid w:val="7B02598F"/>
    <w:rsid w:val="7B3F1C71"/>
    <w:rsid w:val="7B6969A9"/>
    <w:rsid w:val="7B7A713D"/>
    <w:rsid w:val="7B9F23CB"/>
    <w:rsid w:val="7BB51BEE"/>
    <w:rsid w:val="7BBD25FB"/>
    <w:rsid w:val="7BE40725"/>
    <w:rsid w:val="7BEB3862"/>
    <w:rsid w:val="7C000F1B"/>
    <w:rsid w:val="7C0F6E34"/>
    <w:rsid w:val="7C4B2553"/>
    <w:rsid w:val="7C570EF7"/>
    <w:rsid w:val="7C5A4544"/>
    <w:rsid w:val="7C620800"/>
    <w:rsid w:val="7C8D2B6B"/>
    <w:rsid w:val="7CAA54CB"/>
    <w:rsid w:val="7CBC0D5A"/>
    <w:rsid w:val="7D010F82"/>
    <w:rsid w:val="7D0821F2"/>
    <w:rsid w:val="7D994F33"/>
    <w:rsid w:val="7DFB58B2"/>
    <w:rsid w:val="7E002C94"/>
    <w:rsid w:val="7E0155BF"/>
    <w:rsid w:val="7E4454AB"/>
    <w:rsid w:val="7E590F57"/>
    <w:rsid w:val="7E775881"/>
    <w:rsid w:val="7EC103E0"/>
    <w:rsid w:val="7EC860DC"/>
    <w:rsid w:val="7ECA3C03"/>
    <w:rsid w:val="7ED06D24"/>
    <w:rsid w:val="7EDA5DC5"/>
    <w:rsid w:val="7EFB3D51"/>
    <w:rsid w:val="7F295887"/>
    <w:rsid w:val="7F4D213E"/>
    <w:rsid w:val="7FEA49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qFormat="1" w:unhideWhenUsed="0" w:uiPriority="0"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0" w:semiHidden="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99"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adjustRightInd w:val="0"/>
      <w:textAlignment w:val="baseline"/>
      <w:outlineLvl w:val="0"/>
    </w:pPr>
    <w:rPr>
      <w:rFonts w:ascii="仿宋_GB2312" w:eastAsia="仿宋_GB2312"/>
      <w:bCs/>
      <w:color w:val="FF0000"/>
      <w:kern w:val="0"/>
      <w:sz w:val="28"/>
    </w:rPr>
  </w:style>
  <w:style w:type="paragraph" w:styleId="4">
    <w:name w:val="heading 3"/>
    <w:basedOn w:val="1"/>
    <w:next w:val="1"/>
    <w:unhideWhenUsed/>
    <w:qFormat/>
    <w:uiPriority w:val="9"/>
    <w:pPr>
      <w:keepNext/>
      <w:keepLines/>
      <w:spacing w:before="200" w:line="360" w:lineRule="auto"/>
      <w:ind w:firstLine="600" w:firstLineChars="150"/>
      <w:outlineLvl w:val="2"/>
    </w:pPr>
    <w:rPr>
      <w:rFonts w:eastAsia="黑体"/>
      <w:b/>
      <w:bCs/>
      <w:szCs w:val="32"/>
    </w:rPr>
  </w:style>
  <w:style w:type="paragraph" w:styleId="5">
    <w:name w:val="heading 4"/>
    <w:basedOn w:val="1"/>
    <w:next w:val="1"/>
    <w:unhideWhenUsed/>
    <w:qFormat/>
    <w:uiPriority w:val="9"/>
    <w:pPr>
      <w:keepNext/>
      <w:keepLines/>
      <w:spacing w:before="200" w:after="200" w:line="360" w:lineRule="auto"/>
      <w:ind w:firstLine="800" w:firstLineChars="200"/>
      <w:outlineLvl w:val="3"/>
    </w:pPr>
    <w:rPr>
      <w:rFonts w:asciiTheme="majorHAnsi" w:hAnsiTheme="majorHAnsi" w:eastAsiaTheme="majorEastAsia" w:cstheme="majorBidi"/>
      <w:b/>
      <w:bCs/>
      <w:szCs w:val="28"/>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lock Text"/>
    <w:basedOn w:val="1"/>
    <w:qFormat/>
    <w:uiPriority w:val="0"/>
    <w:pPr>
      <w:widowControl/>
      <w:tabs>
        <w:tab w:val="left" w:pos="7990"/>
      </w:tabs>
      <w:adjustRightInd w:val="0"/>
      <w:ind w:left="1497" w:leftChars="671" w:right="1533" w:rightChars="730" w:hanging="88" w:hangingChars="20"/>
      <w:jc w:val="center"/>
    </w:pPr>
    <w:rPr>
      <w:rFonts w:ascii="Calibri" w:hAnsi="Calibri"/>
      <w:b/>
      <w:sz w:val="44"/>
      <w:szCs w:val="20"/>
      <w:lang w:bidi="en-US"/>
    </w:rPr>
  </w:style>
  <w:style w:type="paragraph" w:styleId="6">
    <w:name w:val="annotation text"/>
    <w:basedOn w:val="1"/>
    <w:qFormat/>
    <w:uiPriority w:val="0"/>
    <w:pPr>
      <w:jc w:val="left"/>
    </w:pPr>
  </w:style>
  <w:style w:type="paragraph" w:styleId="7">
    <w:name w:val="Body Text"/>
    <w:basedOn w:val="1"/>
    <w:link w:val="25"/>
    <w:qFormat/>
    <w:uiPriority w:val="0"/>
    <w:pPr>
      <w:spacing w:line="360" w:lineRule="auto"/>
    </w:pPr>
    <w:rPr>
      <w:rFonts w:ascii="仿宋_GB2312" w:eastAsia="仿宋_GB2312"/>
      <w:bCs/>
      <w:color w:val="000000"/>
      <w:sz w:val="28"/>
    </w:rPr>
  </w:style>
  <w:style w:type="paragraph" w:styleId="8">
    <w:name w:val="Body Text Indent"/>
    <w:basedOn w:val="1"/>
    <w:next w:val="9"/>
    <w:qFormat/>
    <w:uiPriority w:val="0"/>
    <w:pPr>
      <w:spacing w:after="120"/>
      <w:ind w:left="420" w:leftChars="200"/>
    </w:pPr>
  </w:style>
  <w:style w:type="paragraph" w:styleId="9">
    <w:name w:val="header"/>
    <w:basedOn w:val="1"/>
    <w:next w:val="10"/>
    <w:qFormat/>
    <w:uiPriority w:val="99"/>
    <w:pPr>
      <w:pBdr>
        <w:bottom w:val="single" w:color="auto" w:sz="6" w:space="1"/>
      </w:pBdr>
      <w:tabs>
        <w:tab w:val="center" w:pos="4153"/>
        <w:tab w:val="right" w:pos="8306"/>
      </w:tabs>
      <w:snapToGrid w:val="0"/>
      <w:jc w:val="center"/>
    </w:pPr>
    <w:rPr>
      <w:sz w:val="18"/>
      <w:szCs w:val="18"/>
    </w:rPr>
  </w:style>
  <w:style w:type="paragraph" w:styleId="10">
    <w:name w:val="Date"/>
    <w:basedOn w:val="1"/>
    <w:next w:val="1"/>
    <w:qFormat/>
    <w:uiPriority w:val="0"/>
    <w:rPr>
      <w:sz w:val="24"/>
      <w:szCs w:val="20"/>
    </w:rPr>
  </w:style>
  <w:style w:type="paragraph" w:styleId="11">
    <w:name w:val="Plain Text"/>
    <w:basedOn w:val="1"/>
    <w:qFormat/>
    <w:uiPriority w:val="99"/>
    <w:rPr>
      <w:rFonts w:ascii="宋体" w:hAnsi="Courier New"/>
      <w:szCs w:val="20"/>
    </w:rPr>
  </w:style>
  <w:style w:type="paragraph" w:styleId="12">
    <w:name w:val="Balloon Text"/>
    <w:basedOn w:val="1"/>
    <w:link w:val="23"/>
    <w:qFormat/>
    <w:uiPriority w:val="0"/>
    <w:rPr>
      <w:sz w:val="18"/>
      <w:szCs w:val="18"/>
    </w:rPr>
  </w:style>
  <w:style w:type="paragraph" w:styleId="13">
    <w:name w:val="footer"/>
    <w:basedOn w:val="1"/>
    <w:qFormat/>
    <w:uiPriority w:val="0"/>
    <w:pPr>
      <w:tabs>
        <w:tab w:val="center" w:pos="4153"/>
        <w:tab w:val="right" w:pos="8306"/>
      </w:tabs>
      <w:snapToGrid w:val="0"/>
      <w:jc w:val="left"/>
    </w:pPr>
    <w:rPr>
      <w:sz w:val="18"/>
    </w:rPr>
  </w:style>
  <w:style w:type="paragraph" w:styleId="14">
    <w:name w:val="toc 2"/>
    <w:basedOn w:val="1"/>
    <w:next w:val="1"/>
    <w:qFormat/>
    <w:uiPriority w:val="0"/>
    <w:pPr>
      <w:ind w:left="200" w:leftChars="200"/>
    </w:pPr>
  </w:style>
  <w:style w:type="paragraph" w:styleId="15">
    <w:name w:val="Body Text First Indent 2"/>
    <w:basedOn w:val="8"/>
    <w:qFormat/>
    <w:uiPriority w:val="0"/>
    <w:pPr>
      <w:ind w:firstLine="420" w:firstLineChars="200"/>
    </w:pPr>
  </w:style>
  <w:style w:type="character" w:styleId="18">
    <w:name w:val="annotation reference"/>
    <w:basedOn w:val="17"/>
    <w:qFormat/>
    <w:uiPriority w:val="0"/>
    <w:rPr>
      <w:sz w:val="21"/>
      <w:szCs w:val="21"/>
    </w:rPr>
  </w:style>
  <w:style w:type="paragraph" w:customStyle="1" w:styleId="19">
    <w:name w:val="！正文"/>
    <w:basedOn w:val="1"/>
    <w:qFormat/>
    <w:uiPriority w:val="0"/>
    <w:pPr>
      <w:overflowPunct w:val="0"/>
      <w:topLinePunct/>
      <w:spacing w:line="440" w:lineRule="atLeast"/>
      <w:ind w:firstLine="480" w:firstLineChars="200"/>
    </w:pPr>
    <w:rPr>
      <w:sz w:val="24"/>
    </w:rPr>
  </w:style>
  <w:style w:type="paragraph" w:styleId="20">
    <w:name w:val="No Spacing"/>
    <w:qFormat/>
    <w:uiPriority w:val="99"/>
    <w:pPr>
      <w:widowControl w:val="0"/>
      <w:jc w:val="both"/>
    </w:pPr>
    <w:rPr>
      <w:rFonts w:ascii="Calibri" w:hAnsi="Calibri" w:eastAsia="宋体" w:cs="Times New Roman"/>
      <w:kern w:val="2"/>
      <w:sz w:val="21"/>
      <w:lang w:val="en-US" w:eastAsia="zh-CN" w:bidi="ar-SA"/>
    </w:rPr>
  </w:style>
  <w:style w:type="paragraph" w:customStyle="1" w:styleId="21">
    <w:name w:val="自控1"/>
    <w:basedOn w:val="22"/>
    <w:qFormat/>
    <w:uiPriority w:val="0"/>
    <w:pPr>
      <w:topLinePunct/>
      <w:spacing w:line="312" w:lineRule="exact"/>
      <w:ind w:left="879" w:hanging="454" w:firstLineChars="0"/>
    </w:pPr>
    <w:rPr>
      <w:rFonts w:ascii="Times New Roman" w:cs="Arial"/>
      <w:kern w:val="21"/>
      <w:szCs w:val="21"/>
    </w:rPr>
  </w:style>
  <w:style w:type="paragraph" w:customStyle="1" w:styleId="22">
    <w:name w:val="段"/>
    <w:qFormat/>
    <w:uiPriority w:val="0"/>
    <w:pPr>
      <w:ind w:firstLine="200" w:firstLineChars="200"/>
      <w:jc w:val="both"/>
    </w:pPr>
    <w:rPr>
      <w:rFonts w:ascii="宋体" w:hAnsi="Times New Roman" w:eastAsia="宋体" w:cs="Times New Roman"/>
      <w:sz w:val="21"/>
      <w:lang w:val="en-US" w:eastAsia="zh-CN" w:bidi="ar-SA"/>
    </w:rPr>
  </w:style>
  <w:style w:type="character" w:customStyle="1" w:styleId="23">
    <w:name w:val="批注框文本 Char"/>
    <w:basedOn w:val="17"/>
    <w:link w:val="12"/>
    <w:qFormat/>
    <w:uiPriority w:val="0"/>
    <w:rPr>
      <w:rFonts w:ascii="Times New Roman" w:hAnsi="Times New Roman" w:eastAsia="宋体" w:cs="Times New Roman"/>
      <w:kern w:val="2"/>
      <w:sz w:val="18"/>
      <w:szCs w:val="18"/>
    </w:rPr>
  </w:style>
  <w:style w:type="paragraph" w:styleId="24">
    <w:name w:val="List Paragraph"/>
    <w:basedOn w:val="1"/>
    <w:unhideWhenUsed/>
    <w:qFormat/>
    <w:uiPriority w:val="99"/>
    <w:pPr>
      <w:ind w:firstLine="420" w:firstLineChars="200"/>
    </w:pPr>
  </w:style>
  <w:style w:type="character" w:customStyle="1" w:styleId="25">
    <w:name w:val="正文文本 Char"/>
    <w:basedOn w:val="17"/>
    <w:link w:val="7"/>
    <w:qFormat/>
    <w:uiPriority w:val="0"/>
    <w:rPr>
      <w:rFonts w:ascii="仿宋_GB2312" w:hAnsi="Times New Roman" w:eastAsia="仿宋_GB2312" w:cs="Times New Roman"/>
      <w:bCs/>
      <w:color w:val="000000"/>
      <w:kern w:val="2"/>
      <w:sz w:val="28"/>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098"/>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中国石油大学</Company>
  <Pages>16</Pages>
  <Words>6176</Words>
  <Characters>7149</Characters>
  <Lines>12</Lines>
  <Paragraphs>15</Paragraphs>
  <TotalTime>219</TotalTime>
  <ScaleCrop>false</ScaleCrop>
  <LinksUpToDate>false</LinksUpToDate>
  <CharactersWithSpaces>7447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2022-10-14T03:13:00Z</dcterms:created>
  <dc:creator>赵耀</dc:creator>
  <cp:lastModifiedBy>疯魔</cp:lastModifiedBy>
  <cp:lastPrinted>2022-10-19T09:27:00Z</cp:lastPrinted>
  <dcterms:modified xsi:type="dcterms:W3CDTF">2022-11-07T04:43:07Z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1B7CEB7870E2454A879AC3343CEA583A</vt:lpwstr>
  </property>
</Properties>
</file>