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wordWrap w:val="0"/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DHZ-2022-JJJH-22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lang w:val="en-US" w:eastAsia="zh-CN"/>
        </w:rPr>
        <w:t>井下用管路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default"/>
          <w:highlight w:val="none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11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10日</w:t>
      </w:r>
    </w:p>
    <w:p>
      <w:pPr>
        <w:wordWrap w:val="0"/>
        <w:jc w:val="right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DHZ-2022-JJJH-22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使用方：内蒙古神东天隆集团股份有限公司大海则煤矿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</w:t>
      </w:r>
    </w:p>
    <w:p>
      <w:pPr>
        <w:pStyle w:val="12"/>
        <w:ind w:left="0" w:leftChars="0" w:firstLine="562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一、基本信息：</w:t>
      </w:r>
    </w:p>
    <w:tbl>
      <w:tblPr>
        <w:tblStyle w:val="10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6"/>
        <w:gridCol w:w="1288"/>
        <w:gridCol w:w="128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量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用途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煤矿用纤维增强聚乙烯管（高直管）或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煤矿用聚乙烯钢丝网骨架管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DN200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4950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消防洒水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或煤矿用聚乙烯钢丝网骨架管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DN150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11360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消防洒水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煤矿用聚乙烯钢丝网骨架管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DN100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5040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供水施救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或煤矿用聚乙烯钢丝网骨架管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DN200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4110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排水管路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或煤矿用聚乙烯钢丝网骨架管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DN150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11146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排水管路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基本参数：</w:t>
      </w:r>
    </w:p>
    <w:p>
      <w:pPr>
        <w:pStyle w:val="2"/>
        <w:ind w:firstLine="560" w:firstLine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2.1消防洒水：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（1）规格型号：DN200、DN150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（2）长度:6米/根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（3）耐压能力：≥2.5Mpa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（4）颜色：绿色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（5）材质：纤维增强聚乙烯或钢丝网骨架聚乙烯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（6）连接方式：井筒及大巷用扣压套筒法兰连接，顺槽用（扣压套筒）卡箍连接，其中卡箍连接的2200米为DN150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，（扣压接头及法兰盘必须做镀锌防锈处理）；</w:t>
      </w:r>
    </w:p>
    <w:p>
      <w:pPr>
        <w:pStyle w:val="7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供水施救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（1）规格型号：DN100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（2）长度:6米/根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（3）耐压能力：≥2.5Mpa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（4）颜色：青绿色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（5）材质：纤维增强聚乙烯或钢丝网骨架聚乙烯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（6）连接方式：扣压套筒法兰连接（扣压接头及法兰盘必须做镀锌防锈处理）；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排水管路：</w:t>
      </w:r>
    </w:p>
    <w:p>
      <w:pPr>
        <w:pStyle w:val="2"/>
        <w:ind w:firstLine="560" w:firstLine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（1）规格型号：DN200、DN150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（2）长度:6米/根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（3）耐压能力：≥2.5Mpa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颜色：蓝色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（5）材质：纤维增强聚乙烯或钢丝网骨架聚乙烯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（6）连接方式：扣压套筒法兰连接（扣压接头及法兰盘必须做镀锌防锈处理）；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基本要求：</w:t>
      </w:r>
    </w:p>
    <w:p>
      <w:pPr>
        <w:spacing w:line="520" w:lineRule="exact"/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3.1</w:t>
      </w:r>
      <w:r>
        <w:rPr>
          <w:rFonts w:hint="eastAsia"/>
          <w:sz w:val="28"/>
          <w:szCs w:val="28"/>
          <w:lang w:val="en-US" w:eastAsia="zh-CN"/>
        </w:rPr>
        <w:t>执行标准：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CJ/T189-2007 《钢丝网骨架塑料(聚乙烯)复合管》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GB/T2791《胶粘剂T剥离强度试验方法，挠性材料对挠性材料》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GB/T8806《塑料管材尺寸测量方法》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GB/T15560-1995《流体输送用塑料管材液压瞬时爆破和耐压试验方法》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AQ1043-2007《矿用产品安全标志标识》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宋体"/>
          <w:sz w:val="28"/>
          <w:szCs w:val="28"/>
          <w:lang w:val="en-US" w:eastAsia="en-US"/>
        </w:rPr>
        <w:t>如有最新版本的规范标准，则应按最新版本执行</w:t>
      </w:r>
      <w:r>
        <w:rPr>
          <w:rFonts w:hint="eastAsia" w:eastAsia="宋体"/>
          <w:sz w:val="28"/>
          <w:szCs w:val="28"/>
          <w:lang w:val="en-US" w:eastAsia="zh-CN"/>
        </w:rPr>
        <w:t>。</w:t>
      </w:r>
      <w:r>
        <w:rPr>
          <w:rFonts w:hint="eastAsia" w:eastAsia="宋体"/>
          <w:sz w:val="28"/>
          <w:szCs w:val="28"/>
          <w:lang w:val="en-US" w:eastAsia="en-US"/>
        </w:rPr>
        <w:t>设备出卖方可采用高于或等同于上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述标准的国家及行业标准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0" w:leftChars="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3.2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标志、包装、运输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1、管材出厂时应有下列标志：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1）公称外径；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2）公称压力；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3）生产厂名或商标； 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4）生产日期或生产批号；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5）用户的其他要求。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2、包装。按供需双方商定要求进行。</w:t>
      </w:r>
    </w:p>
    <w:p>
      <w:pPr>
        <w:spacing w:line="520" w:lineRule="exact"/>
        <w:ind w:firstLine="560" w:firstLineChars="20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3、运输。管件运输时，不得受到划伤、剧烈的撞击、不得抛摔，严禁油污和化学污染。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出厂的管材颜色具体按供货范围要求而定。其外观一定保证内表面清洁、光滑、平整，无明显划伤或分解变色线，无纤维裸露；管材内外表面不允许有明显的划痕、气泡、杂质、颜色不均的缺陷产品出厂，且管材两端应切割平整，并与管轴线垂直，端头进行防渗密封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供货周期不大于1个月，供货范围包括相应管材连接所需螺栓螺母、胶垫以及三通（间隔100米1个）、弯头、短节等管件。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其他或环境要求：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（一）运行环境条件要求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1、运行地点：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煤矿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井下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2、海拔高度：+1000m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-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+1300m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3、瓦斯等级:  低瓦斯矿井</w:t>
      </w:r>
    </w:p>
    <w:p>
      <w:pPr>
        <w:pStyle w:val="9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（二）其他要求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1、随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资料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生产厂家应提供产品出厂检验报告，合格证书，安标证书等技术资料纸质版4套，电子版1套，电子资料和纸质版资料必须相符。</w:t>
      </w:r>
    </w:p>
    <w:p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设备及材料的运输、卸车均由中标方负责。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3、货到矿后取样送第三方进行阻燃、抗静电等性能检测，并出具合格检测报告，费用由乙方承担。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4、因现场场地有限后期管路需要分批次供货，具体到矿时间由甲方提前一周书面通知乙方。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质量保证、售后：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质量保证期限：设备到矿验收合格日起，质保期为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18个月或使用1年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。质保期内出现的质量问题均由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供货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方无偿解决处理（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人为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因素造成的损坏除外）且所质保产品必须与原产品无异。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货到后组织第三方机构检测鉴定，检测不合格乙方无条件退换，产生费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用由乙方无条件承担。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highlight w:val="none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</w:t>
      </w:r>
    </w:p>
    <w:p>
      <w:pPr>
        <w:rPr>
          <w:highlight w:val="none"/>
        </w:rPr>
      </w:pPr>
    </w:p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28"/>
        <w:szCs w:val="28"/>
      </w:rPr>
    </w:lvl>
  </w:abstractNum>
  <w:abstractNum w:abstractNumId="1">
    <w:nsid w:val="18028AD9"/>
    <w:multiLevelType w:val="singleLevel"/>
    <w:tmpl w:val="18028A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Dc1OGU0MjBlYzM4MGE0NjgwNTY5NDkzOWUwOWEifQ=="/>
  </w:docVars>
  <w:rsids>
    <w:rsidRoot w:val="52A770CC"/>
    <w:rsid w:val="17420EBD"/>
    <w:rsid w:val="29E50D07"/>
    <w:rsid w:val="2A1D5440"/>
    <w:rsid w:val="49BD5EAC"/>
    <w:rsid w:val="4BD05255"/>
    <w:rsid w:val="522238F4"/>
    <w:rsid w:val="52A770CC"/>
    <w:rsid w:val="592A2449"/>
    <w:rsid w:val="72FB30AB"/>
    <w:rsid w:val="7EB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eastAsia="仿宋_GB2312"/>
      <w:bCs/>
      <w:color w:val="000000"/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Plain Text"/>
    <w:basedOn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自控1"/>
    <w:basedOn w:val="14"/>
    <w:qFormat/>
    <w:uiPriority w:val="0"/>
    <w:pPr>
      <w:topLinePunct/>
      <w:spacing w:line="312" w:lineRule="exact"/>
      <w:ind w:left="879" w:hanging="454" w:firstLineChars="0"/>
    </w:pPr>
    <w:rPr>
      <w:rFonts w:ascii="Times New Roman" w:cs="Arial"/>
      <w:kern w:val="21"/>
      <w:szCs w:val="21"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sectNamePr val="正文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1673</Words>
  <Characters>1866</Characters>
  <Lines>0</Lines>
  <Paragraphs>0</Paragraphs>
  <TotalTime>44</TotalTime>
  <ScaleCrop>false</ScaleCrop>
  <LinksUpToDate>false</LinksUpToDate>
  <CharactersWithSpaces>2036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2022-10-20T08:24:00Z</dcterms:created>
  <dc:creator>宁静致远</dc:creator>
  <cp:lastModifiedBy>疯魔</cp:lastModifiedBy>
  <cp:lastPrinted>2022-11-17T03:21:31Z</cp:lastPrinted>
  <dcterms:modified xsi:type="dcterms:W3CDTF">2022-11-17T03:28:26Z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C369457EBA644A98A074B1DFEA67A778</vt:lpwstr>
  </property>
</Properties>
</file>