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leftChars="0" w:hanging="421" w:hangingChars="131"/>
        <w:jc w:val="right"/>
        <w:rPr>
          <w:rFonts w:hint="default" w:ascii="宋体" w:hAnsi="宋体"/>
          <w:b/>
          <w:bCs w:val="0"/>
          <w:sz w:val="72"/>
          <w:szCs w:val="72"/>
          <w:lang w:val="en-US" w:eastAsia="zh-CN"/>
        </w:rPr>
      </w:pPr>
      <w:r>
        <w:rPr>
          <w:rFonts w:hint="eastAsia" w:ascii="黑体" w:hAnsi="黑体" w:eastAsia="黑体" w:cs="黑体"/>
          <w:b/>
          <w:bCs w:val="0"/>
          <w:sz w:val="32"/>
          <w:szCs w:val="32"/>
          <w:lang w:val="en-US" w:eastAsia="zh-CN"/>
        </w:rPr>
        <w:t>编号：</w:t>
      </w:r>
      <w:r>
        <w:rPr>
          <w:rFonts w:hint="eastAsia" w:ascii="黑体" w:hAnsi="黑体" w:eastAsia="黑体" w:cs="黑体"/>
          <w:b/>
          <w:bCs/>
          <w:color w:val="auto"/>
          <w:sz w:val="32"/>
          <w:szCs w:val="32"/>
          <w:lang w:val="en-US" w:eastAsia="zh-CN"/>
        </w:rPr>
        <w:t>HLW-2022-ZX-050</w:t>
      </w:r>
    </w:p>
    <w:p>
      <w:pPr>
        <w:ind w:left="420"/>
        <w:jc w:val="center"/>
        <w:rPr>
          <w:rFonts w:hint="eastAsia" w:ascii="宋体" w:hAnsi="宋体"/>
          <w:b/>
          <w:bCs w:val="0"/>
          <w:sz w:val="72"/>
          <w:szCs w:val="72"/>
          <w:lang w:eastAsia="zh-CN"/>
        </w:rPr>
      </w:pPr>
    </w:p>
    <w:p>
      <w:pPr>
        <w:ind w:left="420"/>
        <w:jc w:val="center"/>
        <w:rPr>
          <w:rFonts w:hint="eastAsia" w:ascii="宋体" w:hAnsi="宋体"/>
          <w:b/>
          <w:bCs w:val="0"/>
          <w:sz w:val="44"/>
          <w:szCs w:val="44"/>
          <w:lang w:eastAsia="zh-CN"/>
        </w:rPr>
      </w:pPr>
    </w:p>
    <w:p>
      <w:pPr>
        <w:ind w:left="420"/>
        <w:jc w:val="center"/>
        <w:rPr>
          <w:rFonts w:hint="eastAsia" w:ascii="宋体" w:hAnsi="宋体"/>
          <w:b/>
          <w:bCs w:val="0"/>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内蒙古</w:t>
      </w:r>
      <w:r>
        <w:rPr>
          <w:rFonts w:hint="eastAsia" w:ascii="宋体" w:hAnsi="宋体" w:eastAsia="宋体" w:cs="宋体"/>
          <w:b/>
          <w:bCs/>
          <w:sz w:val="44"/>
          <w:szCs w:val="44"/>
          <w:lang w:eastAsia="zh-CN"/>
        </w:rPr>
        <w:t>神东天隆集团</w:t>
      </w:r>
      <w:r>
        <w:rPr>
          <w:rFonts w:hint="eastAsia" w:ascii="宋体" w:hAnsi="宋体" w:eastAsia="宋体" w:cs="宋体"/>
          <w:b/>
          <w:bCs/>
          <w:sz w:val="44"/>
          <w:szCs w:val="44"/>
          <w:lang w:val="en-US" w:eastAsia="zh-CN"/>
        </w:rPr>
        <w:t>股份</w:t>
      </w:r>
      <w:r>
        <w:rPr>
          <w:rFonts w:hint="eastAsia" w:ascii="宋体" w:hAnsi="宋体" w:eastAsia="宋体" w:cs="宋体"/>
          <w:b/>
          <w:bCs/>
          <w:sz w:val="44"/>
          <w:szCs w:val="44"/>
          <w:lang w:eastAsia="zh-CN"/>
        </w:rPr>
        <w:t>有限公司</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霍洛湾煤矿</w:t>
      </w:r>
    </w:p>
    <w:p>
      <w:pPr>
        <w:jc w:val="center"/>
        <w:rPr>
          <w:rFonts w:hint="eastAsia" w:ascii="宋体" w:hAnsi="宋体" w:eastAsia="宋体" w:cs="宋体"/>
          <w:b/>
          <w:bCs/>
          <w:w w:val="80"/>
          <w:sz w:val="36"/>
          <w:szCs w:val="36"/>
          <w:lang w:val="en-US" w:eastAsia="zh-CN"/>
        </w:rPr>
      </w:pPr>
      <w:r>
        <w:rPr>
          <w:rFonts w:hint="eastAsia" w:ascii="宋体" w:hAnsi="宋体" w:eastAsia="宋体" w:cs="宋体"/>
          <w:b/>
          <w:bCs/>
          <w:w w:val="80"/>
          <w:sz w:val="44"/>
          <w:szCs w:val="44"/>
          <w:lang w:val="en-US" w:eastAsia="zh-CN"/>
        </w:rPr>
        <w:t>关于购置</w:t>
      </w:r>
      <w:r>
        <w:rPr>
          <w:rFonts w:hint="eastAsia" w:ascii="宋体" w:hAnsi="宋体" w:cs="宋体"/>
          <w:b/>
          <w:bCs/>
          <w:w w:val="80"/>
          <w:sz w:val="44"/>
          <w:szCs w:val="44"/>
          <w:lang w:val="en-US" w:eastAsia="zh-CN"/>
        </w:rPr>
        <w:t>油浸式变压器</w:t>
      </w:r>
    </w:p>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bCs w:val="0"/>
          <w:sz w:val="96"/>
          <w:szCs w:val="96"/>
          <w:lang w:val="en-US" w:eastAsia="zh-CN"/>
        </w:rPr>
      </w:pPr>
      <w:r>
        <w:rPr>
          <w:rFonts w:hint="eastAsia" w:ascii="宋体" w:hAnsi="宋体" w:eastAsia="宋体" w:cs="宋体"/>
          <w:b/>
          <w:bCs w:val="0"/>
          <w:sz w:val="84"/>
          <w:szCs w:val="84"/>
          <w:lang w:eastAsia="zh-CN"/>
        </w:rPr>
        <w:t>技</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eastAsia="zh-CN"/>
        </w:rPr>
        <w:t>术</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要</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求</w:t>
      </w:r>
    </w:p>
    <w:p>
      <w:pPr>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宋体" w:hAnsi="宋体" w:eastAsia="宋体" w:cs="宋体"/>
          <w:b/>
          <w:sz w:val="32"/>
          <w:szCs w:val="21"/>
          <w:lang w:val="en-US" w:eastAsia="zh-CN"/>
        </w:rPr>
        <w:t xml:space="preserve">  </w:t>
      </w:r>
      <w:r>
        <w:rPr>
          <w:rFonts w:hint="eastAsia" w:asciiTheme="minorEastAsia" w:hAnsiTheme="minorEastAsia" w:eastAsiaTheme="minorEastAsia" w:cstheme="minorEastAsia"/>
          <w:b/>
          <w:bCs/>
          <w:sz w:val="32"/>
          <w:szCs w:val="32"/>
          <w:lang w:val="en-US" w:eastAsia="zh-CN"/>
        </w:rPr>
        <w:t>使用方：</w:t>
      </w:r>
      <w:r>
        <w:rPr>
          <w:rFonts w:hint="eastAsia" w:asciiTheme="minorEastAsia" w:hAnsiTheme="minorEastAsia" w:eastAsiaTheme="minorEastAsia" w:cstheme="minorEastAsia"/>
          <w:sz w:val="32"/>
          <w:szCs w:val="32"/>
        </w:rPr>
        <w:t>内蒙古神东天隆集团股份有限公司霍洛湾煤矿</w:t>
      </w:r>
    </w:p>
    <w:p>
      <w:pPr>
        <w:jc w:val="center"/>
        <w:rPr>
          <w:rFonts w:hint="eastAsia"/>
          <w:sz w:val="32"/>
          <w:szCs w:val="32"/>
          <w:lang w:val="en-US" w:eastAsia="zh-CN"/>
        </w:rPr>
      </w:pPr>
      <w:r>
        <w:rPr>
          <w:rFonts w:hint="eastAsia" w:asciiTheme="minorEastAsia" w:hAnsiTheme="minorEastAsia" w:eastAsiaTheme="minorEastAsia" w:cstheme="minorEastAsia"/>
          <w:b/>
          <w:bCs/>
          <w:sz w:val="32"/>
          <w:szCs w:val="32"/>
          <w:lang w:val="en-US" w:eastAsia="zh-CN"/>
        </w:rPr>
        <w:t>审核方：</w:t>
      </w:r>
      <w:r>
        <w:rPr>
          <w:rFonts w:hint="eastAsia" w:asciiTheme="minorEastAsia" w:hAnsiTheme="minorEastAsia" w:eastAsiaTheme="minorEastAsia" w:cstheme="minorEastAsia"/>
          <w:sz w:val="32"/>
          <w:szCs w:val="32"/>
          <w:lang w:val="en-US" w:eastAsia="zh-CN"/>
        </w:rPr>
        <w:t>内蒙古神东天隆集团股份有限公司机电动力部</w:t>
      </w:r>
      <w:r>
        <w:rPr>
          <w:rFonts w:hint="eastAsia" w:asciiTheme="minorEastAsia" w:hAnsiTheme="minorEastAsia" w:eastAsiaTheme="minorEastAsia" w:cstheme="minorEastAsia"/>
          <w:color w:val="000000"/>
          <w:szCs w:val="21"/>
        </w:rPr>
        <w:t xml:space="preserve">     </w:t>
      </w:r>
      <w:r>
        <w:rPr>
          <w:rFonts w:hint="eastAsia"/>
          <w:sz w:val="30"/>
          <w:szCs w:val="30"/>
          <w:lang w:val="en-US" w:eastAsia="zh-CN"/>
        </w:rPr>
        <w:t xml:space="preserve">                                </w:t>
      </w:r>
      <w:r>
        <w:rPr>
          <w:rFonts w:hint="eastAsia"/>
          <w:sz w:val="32"/>
          <w:szCs w:val="32"/>
          <w:lang w:val="en-US" w:eastAsia="zh-CN"/>
        </w:rPr>
        <w:t xml:space="preserve"> </w:t>
      </w:r>
    </w:p>
    <w:p>
      <w:pPr>
        <w:tabs>
          <w:tab w:val="left" w:pos="1227"/>
        </w:tabs>
        <w:jc w:val="center"/>
        <w:rPr>
          <w:rFonts w:ascii="宋体" w:hAnsi="宋体"/>
          <w:b w:val="0"/>
          <w:bCs/>
          <w:color w:val="auto"/>
          <w:sz w:val="32"/>
          <w:szCs w:val="21"/>
          <w:u w:val="none" w:color="auto"/>
        </w:rPr>
      </w:pPr>
      <w:r>
        <w:rPr>
          <w:rFonts w:ascii="宋体" w:hAnsi="宋体"/>
          <w:b w:val="0"/>
          <w:bCs/>
          <w:color w:val="auto"/>
          <w:sz w:val="32"/>
          <w:szCs w:val="21"/>
          <w:u w:val="none" w:color="auto"/>
        </w:rPr>
        <w:t>20</w:t>
      </w:r>
      <w:r>
        <w:rPr>
          <w:rFonts w:hint="eastAsia" w:ascii="宋体" w:hAnsi="宋体"/>
          <w:b w:val="0"/>
          <w:bCs/>
          <w:color w:val="auto"/>
          <w:sz w:val="32"/>
          <w:szCs w:val="21"/>
          <w:u w:val="none" w:color="auto"/>
          <w:lang w:val="en-US" w:eastAsia="zh-CN"/>
        </w:rPr>
        <w:t>22</w:t>
      </w:r>
      <w:r>
        <w:rPr>
          <w:rFonts w:ascii="宋体" w:hAnsi="宋体"/>
          <w:b w:val="0"/>
          <w:bCs/>
          <w:color w:val="auto"/>
          <w:sz w:val="32"/>
          <w:szCs w:val="21"/>
          <w:u w:val="none" w:color="auto"/>
        </w:rPr>
        <w:t>年</w:t>
      </w:r>
      <w:r>
        <w:rPr>
          <w:rFonts w:hint="eastAsia" w:ascii="宋体" w:hAnsi="宋体"/>
          <w:b w:val="0"/>
          <w:bCs/>
          <w:color w:val="auto"/>
          <w:sz w:val="32"/>
          <w:szCs w:val="21"/>
          <w:u w:val="none" w:color="auto"/>
          <w:lang w:val="en-US" w:eastAsia="zh-CN"/>
        </w:rPr>
        <w:t>12</w:t>
      </w:r>
      <w:r>
        <w:rPr>
          <w:rFonts w:ascii="宋体" w:hAnsi="宋体"/>
          <w:b w:val="0"/>
          <w:bCs/>
          <w:color w:val="auto"/>
          <w:sz w:val="32"/>
          <w:szCs w:val="21"/>
          <w:u w:val="none" w:color="auto"/>
        </w:rPr>
        <w:t>月</w:t>
      </w:r>
      <w:r>
        <w:rPr>
          <w:rFonts w:hint="eastAsia" w:ascii="宋体" w:hAnsi="宋体"/>
          <w:b w:val="0"/>
          <w:bCs/>
          <w:color w:val="auto"/>
          <w:sz w:val="32"/>
          <w:szCs w:val="21"/>
          <w:u w:val="none" w:color="auto"/>
          <w:lang w:val="en-US" w:eastAsia="zh-CN"/>
        </w:rPr>
        <w:t>6</w:t>
      </w:r>
      <w:r>
        <w:rPr>
          <w:rFonts w:ascii="宋体" w:hAnsi="宋体"/>
          <w:b w:val="0"/>
          <w:bCs/>
          <w:color w:val="auto"/>
          <w:sz w:val="32"/>
          <w:szCs w:val="21"/>
          <w:u w:val="none" w:color="auto"/>
        </w:rPr>
        <w:t>日</w:t>
      </w:r>
    </w:p>
    <w:p>
      <w:pPr>
        <w:jc w:val="both"/>
        <w:rPr>
          <w:rFonts w:hint="eastAsia"/>
          <w:sz w:val="32"/>
          <w:szCs w:val="32"/>
          <w:lang w:val="en-US" w:eastAsia="zh-CN"/>
        </w:rPr>
      </w:pPr>
    </w:p>
    <w:p>
      <w:pPr>
        <w:jc w:val="center"/>
        <w:rPr>
          <w:rFonts w:hint="eastAsia" w:ascii="宋体" w:hAnsi="宋体" w:cs="宋体"/>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right"/>
        <w:rPr>
          <w:rFonts w:hint="default" w:eastAsia="黑体"/>
          <w:color w:val="FF0000"/>
          <w:sz w:val="32"/>
          <w:szCs w:val="32"/>
          <w:lang w:val="en-US" w:eastAsia="zh-CN"/>
        </w:rPr>
      </w:pPr>
      <w:r>
        <w:rPr>
          <w:rFonts w:hint="eastAsia" w:ascii="黑体" w:hAnsi="黑体" w:eastAsia="黑体" w:cs="黑体"/>
          <w:b/>
          <w:bCs/>
          <w:color w:val="auto"/>
          <w:sz w:val="32"/>
          <w:szCs w:val="32"/>
        </w:rPr>
        <w:t>编号：</w:t>
      </w:r>
      <w:r>
        <w:rPr>
          <w:rFonts w:hint="eastAsia" w:ascii="黑体" w:hAnsi="黑体" w:eastAsia="黑体" w:cs="黑体"/>
          <w:b/>
          <w:bCs/>
          <w:color w:val="auto"/>
          <w:sz w:val="32"/>
          <w:szCs w:val="32"/>
          <w:lang w:val="en-US" w:eastAsia="zh-CN"/>
        </w:rPr>
        <w:t>HLW-2022-ZX-053</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lang w:val="en-US" w:eastAsia="zh-CN"/>
        </w:rPr>
        <w:t>技 术 要 求</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使用方：</w:t>
      </w:r>
      <w:r>
        <w:rPr>
          <w:rFonts w:hint="eastAsia" w:asciiTheme="minorEastAsia" w:hAnsiTheme="minorEastAsia" w:eastAsiaTheme="minorEastAsia" w:cstheme="minorEastAsia"/>
          <w:sz w:val="32"/>
          <w:szCs w:val="32"/>
        </w:rPr>
        <w:t>内蒙古神东天隆集团股份有限公司霍洛湾煤矿</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32"/>
          <w:szCs w:val="32"/>
          <w:lang w:val="en-US" w:eastAsia="zh-CN"/>
        </w:rPr>
        <w:t>审核方：内蒙古神东天隆集团股份有限公司机电动力部</w:t>
      </w:r>
      <w:r>
        <w:rPr>
          <w:rFonts w:hint="eastAsia" w:asciiTheme="minorEastAsia" w:hAnsiTheme="minorEastAsia" w:eastAsiaTheme="minorEastAsia" w:cstheme="minorEastAsia"/>
          <w:color w:val="000000"/>
          <w:szCs w:val="21"/>
        </w:rPr>
        <w:t xml:space="preserve">               </w:t>
      </w:r>
    </w:p>
    <w:p>
      <w:pPr>
        <w:pStyle w:val="11"/>
        <w:ind w:left="0" w:leftChars="0" w:firstLine="643"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
          <w:bCs/>
          <w:sz w:val="32"/>
          <w:szCs w:val="32"/>
          <w:lang w:val="en-US" w:eastAsia="zh-CN"/>
        </w:rPr>
        <w:t>一、基本信息：</w:t>
      </w:r>
    </w:p>
    <w:tbl>
      <w:tblPr>
        <w:tblStyle w:val="9"/>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697"/>
        <w:gridCol w:w="682"/>
        <w:gridCol w:w="818"/>
        <w:gridCol w:w="152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09" w:type="dxa"/>
            <w:noWrap w:val="0"/>
            <w:vAlign w:val="center"/>
          </w:tcPr>
          <w:p>
            <w:pPr>
              <w:ind w:right="-63" w:rightChars="-30"/>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名称</w:t>
            </w:r>
          </w:p>
        </w:tc>
        <w:tc>
          <w:tcPr>
            <w:tcW w:w="2697"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规格型号</w:t>
            </w:r>
          </w:p>
        </w:tc>
        <w:tc>
          <w:tcPr>
            <w:tcW w:w="682"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单</w:t>
            </w:r>
          </w:p>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位</w:t>
            </w:r>
          </w:p>
        </w:tc>
        <w:tc>
          <w:tcPr>
            <w:tcW w:w="818"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数</w:t>
            </w:r>
          </w:p>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量</w:t>
            </w:r>
          </w:p>
        </w:tc>
        <w:tc>
          <w:tcPr>
            <w:tcW w:w="1527"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资金来源</w:t>
            </w:r>
          </w:p>
        </w:tc>
        <w:tc>
          <w:tcPr>
            <w:tcW w:w="1957"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交（提）货</w:t>
            </w:r>
          </w:p>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09" w:type="dxa"/>
            <w:noWrap w:val="0"/>
            <w:vAlign w:val="center"/>
          </w:tcPr>
          <w:p>
            <w:pPr>
              <w:widowControl/>
              <w:jc w:val="center"/>
              <w:textAlignment w:val="center"/>
              <w:rPr>
                <w:rFonts w:hint="default" w:asciiTheme="minorEastAsia" w:hAnsiTheme="minorEastAsia" w:eastAsiaTheme="minorEastAsia" w:cstheme="minorEastAsia"/>
                <w:b w:val="0"/>
                <w:bCs w:val="0"/>
                <w:color w:val="000000"/>
                <w:szCs w:val="21"/>
                <w:lang w:val="en-US" w:eastAsia="zh-CN"/>
              </w:rPr>
            </w:pPr>
            <w:r>
              <w:rPr>
                <w:rFonts w:hint="eastAsia" w:asciiTheme="minorEastAsia" w:hAnsiTheme="minorEastAsia" w:eastAsiaTheme="minorEastAsia" w:cstheme="minorEastAsia"/>
                <w:b w:val="0"/>
                <w:bCs w:val="0"/>
                <w:color w:val="000000"/>
                <w:szCs w:val="21"/>
                <w:lang w:val="en-US" w:eastAsia="zh-CN"/>
              </w:rPr>
              <w:t>油浸式变压器</w:t>
            </w:r>
          </w:p>
        </w:tc>
        <w:tc>
          <w:tcPr>
            <w:tcW w:w="2697" w:type="dxa"/>
            <w:noWrap w:val="0"/>
            <w:vAlign w:val="center"/>
          </w:tcPr>
          <w:p>
            <w:pPr>
              <w:widowControl/>
              <w:jc w:val="center"/>
              <w:textAlignment w:val="center"/>
              <w:rPr>
                <w:rFonts w:hint="default"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b w:val="0"/>
                <w:bCs w:val="0"/>
                <w:color w:val="000000"/>
                <w:szCs w:val="21"/>
                <w:lang w:val="en-US" w:eastAsia="zh-CN"/>
              </w:rPr>
              <w:t>S13-1600-10/0.4</w:t>
            </w:r>
          </w:p>
        </w:tc>
        <w:tc>
          <w:tcPr>
            <w:tcW w:w="682" w:type="dxa"/>
            <w:noWrap w:val="0"/>
            <w:vAlign w:val="center"/>
          </w:tcPr>
          <w:p>
            <w:pPr>
              <w:widowControl/>
              <w:jc w:val="center"/>
              <w:textAlignment w:val="center"/>
              <w:rPr>
                <w:rFonts w:hint="default"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b w:val="0"/>
                <w:bCs w:val="0"/>
                <w:color w:val="000000"/>
                <w:szCs w:val="21"/>
                <w:lang w:val="en-US" w:eastAsia="zh-CN"/>
              </w:rPr>
              <w:t>台</w:t>
            </w:r>
          </w:p>
        </w:tc>
        <w:tc>
          <w:tcPr>
            <w:tcW w:w="818" w:type="dxa"/>
            <w:noWrap w:val="0"/>
            <w:vAlign w:val="center"/>
          </w:tcPr>
          <w:p>
            <w:pPr>
              <w:widowControl/>
              <w:jc w:val="center"/>
              <w:textAlignment w:val="center"/>
              <w:rPr>
                <w:rFonts w:hint="default"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b w:val="0"/>
                <w:bCs w:val="0"/>
                <w:color w:val="000000"/>
                <w:szCs w:val="21"/>
                <w:lang w:val="en-US" w:eastAsia="zh-CN"/>
              </w:rPr>
              <w:t>2</w:t>
            </w:r>
          </w:p>
        </w:tc>
        <w:tc>
          <w:tcPr>
            <w:tcW w:w="1527" w:type="dxa"/>
            <w:noWrap w:val="0"/>
            <w:vAlign w:val="center"/>
          </w:tcPr>
          <w:p>
            <w:pPr>
              <w:adjustRightInd w:val="0"/>
              <w:snapToGrid w:val="0"/>
              <w:spacing w:line="320" w:lineRule="exact"/>
              <w:jc w:val="center"/>
              <w:rPr>
                <w:rFonts w:hint="default" w:asciiTheme="minorEastAsia" w:hAnsiTheme="minorEastAsia" w:eastAsiaTheme="minorEastAsia" w:cstheme="minorEastAsia"/>
                <w:b w:val="0"/>
                <w:bCs w:val="0"/>
                <w:color w:val="000000"/>
                <w:szCs w:val="21"/>
                <w:lang w:val="en-US" w:eastAsia="zh-CN"/>
              </w:rPr>
            </w:pPr>
            <w:r>
              <w:rPr>
                <w:rFonts w:hint="eastAsia" w:asciiTheme="minorEastAsia" w:hAnsiTheme="minorEastAsia" w:eastAsiaTheme="minorEastAsia" w:cstheme="minorEastAsia"/>
                <w:b w:val="0"/>
                <w:bCs w:val="0"/>
                <w:color w:val="000000"/>
                <w:szCs w:val="21"/>
                <w:lang w:val="en-US" w:eastAsia="zh-CN"/>
              </w:rPr>
              <w:t>2022年专项</w:t>
            </w:r>
          </w:p>
        </w:tc>
        <w:tc>
          <w:tcPr>
            <w:tcW w:w="1957" w:type="dxa"/>
            <w:noWrap w:val="0"/>
            <w:vAlign w:val="center"/>
          </w:tcPr>
          <w:p>
            <w:pPr>
              <w:adjustRightInd w:val="0"/>
              <w:snapToGrid w:val="0"/>
              <w:spacing w:line="320" w:lineRule="exact"/>
              <w:jc w:val="center"/>
              <w:rPr>
                <w:rFonts w:hint="default" w:asciiTheme="minorEastAsia" w:hAnsiTheme="minorEastAsia" w:eastAsiaTheme="minorEastAsia" w:cstheme="minorEastAsia"/>
                <w:b w:val="0"/>
                <w:bCs w:val="0"/>
                <w:color w:val="000000"/>
                <w:szCs w:val="21"/>
                <w:lang w:val="en-US" w:eastAsia="zh-CN"/>
              </w:rPr>
            </w:pPr>
            <w:r>
              <w:rPr>
                <w:rFonts w:hint="eastAsia" w:asciiTheme="minorEastAsia" w:hAnsiTheme="minorEastAsia" w:eastAsiaTheme="minorEastAsia" w:cstheme="minorEastAsia"/>
                <w:b w:val="0"/>
                <w:bCs w:val="0"/>
                <w:color w:val="000000"/>
                <w:szCs w:val="21"/>
                <w:lang w:val="en-US" w:eastAsia="zh-CN"/>
              </w:rPr>
              <w:t>霍洛湾煤矿</w:t>
            </w:r>
          </w:p>
        </w:tc>
      </w:tr>
    </w:tbl>
    <w:p>
      <w:pPr>
        <w:rPr>
          <w:rFonts w:hint="eastAsia" w:asciiTheme="minorEastAsia" w:hAnsiTheme="minorEastAsia" w:eastAsiaTheme="minorEastAsia" w:cstheme="minorEastAsia"/>
          <w:vanish/>
        </w:rPr>
      </w:pPr>
    </w:p>
    <w:p>
      <w:pPr>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基本参数：</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1、型号：S13-1600/10±2×2.5%/0.4  </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2、变压器额定电压（KV）：10±2×2.5%/0.4   </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3、变压器额定容量（KVA）:1600KVA</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4、变压器工作频率（Hz）:50</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5、冷却方式：自然油循环自然冷却（油浸自冷式）</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6、绕组：铜出头</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7、联结组标号：Dyn11 </w:t>
      </w:r>
      <w:bookmarkStart w:id="0" w:name="_GoBack"/>
      <w:bookmarkEnd w:id="0"/>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8、相数：三相 </w:t>
      </w:r>
    </w:p>
    <w:p>
      <w:pPr>
        <w:pStyle w:val="8"/>
        <w:ind w:left="0" w:leftChars="0"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9、安装方式：落地式变台户外固定安装</w:t>
      </w:r>
    </w:p>
    <w:p>
      <w:pPr>
        <w:pStyle w:val="8"/>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基本要求：</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变压器应符合GB1094.1、GB1094.2、GB1094.3和GB1094.5的规定。电力变压器选用的所有部件应满足各自的标准要求。变压器为现行国家节能产品，变压器的短路耐受能力、过载能力、空载损耗、负载损耗符合国家规范相关要求。</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2、中标方提供变压器油，变压器油采用符合规定的矿物油，除抗氧化剂外，决不加任何添加剂。其击穿电压≥40kV 、介质损耗因数tanδ（90℃）≤0.5%。</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3、变压器在规定的工作条件下，寿命不低于10年。</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4、变压器一次和二次引线的接线端子，应用铜材制成，其接触表面应洁净，不得有裂纹、明显伤痕、毛刺，腐蚀斑痕缺陷及其他影响电接触和机械强度的缺陷，且应有防松措施。其余应符合GB/T 5273-2016的规定。</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5、套管采用户外防污伞型纯瓷套管，套管的额定电压应与变压器的额定电压相适应，具有良好的抗污能力和运行性能。</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6、密封垫采用抗老化、抗龟裂、抗紫外线制品，所有密封面密封完好。</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7、变压器铁心应采用优质冷轧</w:t>
      </w:r>
      <w:r>
        <w:rPr>
          <w:rFonts w:hint="eastAsia" w:asciiTheme="minorEastAsia" w:hAnsiTheme="minorEastAsia" w:eastAsiaTheme="minorEastAsia" w:cstheme="minorEastAsia"/>
          <w:color w:val="auto"/>
          <w:sz w:val="32"/>
          <w:szCs w:val="32"/>
          <w:lang w:val="en-US" w:eastAsia="zh-CN"/>
        </w:rPr>
        <w:t>硅钢片，。投标时注明所选用硅钢牌号及厂家，整个铁心组件均衡严紧，铁心用整片硅钢片制作，不能用拼接形式，</w:t>
      </w:r>
      <w:r>
        <w:rPr>
          <w:rFonts w:hint="eastAsia" w:asciiTheme="minorEastAsia" w:hAnsiTheme="minorEastAsia" w:eastAsiaTheme="minorEastAsia" w:cstheme="minorEastAsia"/>
          <w:color w:val="auto"/>
          <w:sz w:val="32"/>
          <w:szCs w:val="32"/>
          <w:lang w:val="en-US" w:eastAsia="zh-CN"/>
        </w:rPr>
        <w:t>变压器铁芯不会由于运输和运行中的振动而松动。</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8、全部绕组均采用铜导线，绕组应能承受短路、过载和过电压而不发生局部过热，绕组和引线应绑扎得足够牢固，防止由于运输、振动和运行中短路时，产生相对位移。应消除绕组中的电场集中现象。</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9、变压器噪声水平满足环境保护的有关规定，距变压器2米处噪声不超过58db。</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10、变压器在任一分接下，应能持续承受0.5s时间的外部短路耐热能力的电流，并且其绕组温度应不超过250℃(铜)。变压器承受短路的动稳定能力</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11、绕组绝缘耐热等级：  A级。额定负载下温升限值：绕组温升不超过65K；顶层油温升不超过55K；结构温升不超过80K。</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12、变压器油箱使用高强度钢板焊成，能承受真空压力为50Kpa、5min的机械强度试验，没有损伤和永久变形。变压器油箱(包括储油柜)能承受50Kpa压力、持续时间为 24h的密封试验,保证没有渗漏和损伤。变压器油箱下部壁上装有密封取油样阀。在变压器油箱底部装有排油装置。变压器油箱上焊有能承受变压器总重的起吊装置，箱体的起吊装置应保证。</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13、整个变压器在垂直方向受力均衡。油箱的焊接应牢固，焊缝应光洁均匀，无焊穿，裂纹，溅渣，气孔等现象。箱体应进行防锈处理，外表面漆颜色均匀，附着力强，漆膜不得有裂纹，流痕，针孔，斑点，气泡和附着物。</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14、电力变压器铁心和较大的金属结构零件均应通过油箱可靠接地，油箱上的接地点应有明显的接地标志。</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15、变压器应装有压力释放器，可靠动作。</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16、变压器应装有气体继器，积聚在气体继电器内的气体数量达到250～300mL或油速在整定范围时，应分别接通相应的接点。气体继电器的安装位置及其结构应能观察到分解出气体的数量和颜色，而且应便于取气体。</w:t>
      </w:r>
    </w:p>
    <w:p>
      <w:pPr>
        <w:pStyle w:val="8"/>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17、具备油温测量装置，装置的安装符合相关标准，安装位置应便于观察。</w:t>
      </w:r>
    </w:p>
    <w:p>
      <w:pPr>
        <w:numPr>
          <w:ilvl w:val="0"/>
          <w:numId w:val="0"/>
        </w:numPr>
        <w:ind w:firstLine="640" w:firstLineChars="200"/>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sz w:val="32"/>
          <w:szCs w:val="32"/>
          <w:lang w:val="en-US" w:eastAsia="zh-CN"/>
        </w:rPr>
        <w:t>18、具备户外测温装</w:t>
      </w:r>
      <w:r>
        <w:rPr>
          <w:rFonts w:hint="eastAsia" w:asciiTheme="minorEastAsia" w:hAnsiTheme="minorEastAsia" w:eastAsiaTheme="minorEastAsia" w:cstheme="minorEastAsia"/>
          <w:color w:val="auto"/>
          <w:kern w:val="2"/>
          <w:sz w:val="32"/>
          <w:szCs w:val="32"/>
          <w:lang w:val="en-US" w:eastAsia="zh-CN" w:bidi="ar-SA"/>
        </w:rPr>
        <w:t>置，测温装置的安装位置应便于观察，且其准确度应符合相应标准。</w:t>
      </w:r>
    </w:p>
    <w:p>
      <w:pPr>
        <w:numPr>
          <w:ilvl w:val="0"/>
          <w:numId w:val="0"/>
        </w:numPr>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19、变压器内外及附件除有色金属和镀锌铁件外，所有金属件均应除锈喷漆，油漆具有自防污能力。</w:t>
      </w:r>
    </w:p>
    <w:p>
      <w:pPr>
        <w:pStyle w:val="8"/>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其他或环境要求：</w:t>
      </w:r>
    </w:p>
    <w:p>
      <w:pPr>
        <w:numPr>
          <w:ilvl w:val="0"/>
          <w:numId w:val="0"/>
        </w:numPr>
        <w:ind w:left="630" w:leftChars="0"/>
        <w:rPr>
          <w:rFonts w:hint="default" w:ascii="宋体" w:hAnsi="宋体" w:eastAsia="宋体" w:cs="宋体"/>
          <w:bCs/>
          <w:color w:val="auto"/>
          <w:sz w:val="32"/>
          <w:szCs w:val="32"/>
          <w:lang w:val="en-US" w:eastAsia="zh-CN"/>
        </w:rPr>
      </w:pP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一</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环境要求</w:t>
      </w:r>
    </w:p>
    <w:p>
      <w:pPr>
        <w:numPr>
          <w:ilvl w:val="0"/>
          <w:numId w:val="2"/>
        </w:numPr>
        <w:rPr>
          <w:rFonts w:hint="eastAsia" w:ascii="宋体" w:hAnsi="宋体" w:cs="宋体"/>
          <w:bCs/>
          <w:color w:val="auto"/>
          <w:sz w:val="32"/>
          <w:szCs w:val="32"/>
        </w:rPr>
      </w:pPr>
      <w:r>
        <w:rPr>
          <w:rFonts w:hint="eastAsia" w:ascii="宋体" w:hAnsi="宋体" w:cs="宋体"/>
          <w:bCs/>
          <w:color w:val="auto"/>
          <w:sz w:val="32"/>
          <w:szCs w:val="32"/>
        </w:rPr>
        <w:t>设备安装地点：户外</w:t>
      </w:r>
    </w:p>
    <w:p>
      <w:pPr>
        <w:numPr>
          <w:ilvl w:val="0"/>
          <w:numId w:val="2"/>
        </w:numPr>
        <w:rPr>
          <w:rFonts w:hint="eastAsia" w:ascii="宋体" w:hAnsi="宋体" w:cs="宋体"/>
          <w:bCs/>
          <w:color w:val="auto"/>
          <w:sz w:val="32"/>
          <w:szCs w:val="32"/>
        </w:rPr>
      </w:pPr>
      <w:r>
        <w:rPr>
          <w:rFonts w:hint="eastAsia" w:ascii="宋体" w:hAnsi="宋体" w:cs="宋体"/>
          <w:bCs/>
          <w:color w:val="auto"/>
          <w:sz w:val="32"/>
          <w:szCs w:val="32"/>
        </w:rPr>
        <w:t>海拔高度：1500m</w:t>
      </w:r>
    </w:p>
    <w:p>
      <w:pPr>
        <w:numPr>
          <w:ilvl w:val="0"/>
          <w:numId w:val="2"/>
        </w:numPr>
        <w:rPr>
          <w:rFonts w:hint="eastAsia" w:ascii="宋体" w:hAnsi="宋体" w:cs="宋体"/>
          <w:bCs/>
          <w:color w:val="auto"/>
          <w:sz w:val="32"/>
          <w:szCs w:val="32"/>
        </w:rPr>
      </w:pPr>
      <w:r>
        <w:rPr>
          <w:rFonts w:hint="eastAsia" w:ascii="宋体" w:hAnsi="宋体" w:cs="宋体"/>
          <w:bCs/>
          <w:color w:val="auto"/>
          <w:sz w:val="32"/>
          <w:szCs w:val="32"/>
        </w:rPr>
        <w:t>地震烈度：7度</w:t>
      </w:r>
    </w:p>
    <w:p>
      <w:pPr>
        <w:numPr>
          <w:ilvl w:val="0"/>
          <w:numId w:val="2"/>
        </w:numPr>
        <w:rPr>
          <w:rFonts w:hint="eastAsia" w:ascii="宋体" w:hAnsi="宋体" w:cs="宋体"/>
          <w:bCs/>
          <w:color w:val="auto"/>
          <w:sz w:val="32"/>
          <w:szCs w:val="32"/>
        </w:rPr>
      </w:pPr>
      <w:r>
        <w:rPr>
          <w:rFonts w:hint="eastAsia" w:ascii="宋体" w:hAnsi="宋体" w:cs="宋体"/>
          <w:bCs/>
          <w:color w:val="auto"/>
          <w:sz w:val="32"/>
          <w:szCs w:val="32"/>
        </w:rPr>
        <w:t>环境温度：-40℃～+40℃</w:t>
      </w:r>
    </w:p>
    <w:p>
      <w:pPr>
        <w:numPr>
          <w:ilvl w:val="0"/>
          <w:numId w:val="2"/>
        </w:numPr>
        <w:rPr>
          <w:rFonts w:hint="eastAsia" w:ascii="宋体" w:hAnsi="宋体" w:cs="宋体"/>
          <w:bCs/>
          <w:color w:val="auto"/>
          <w:sz w:val="32"/>
          <w:szCs w:val="32"/>
        </w:rPr>
      </w:pPr>
      <w:r>
        <w:rPr>
          <w:rFonts w:hint="eastAsia" w:ascii="宋体" w:hAnsi="宋体" w:cs="宋体"/>
          <w:bCs/>
          <w:color w:val="auto"/>
          <w:sz w:val="32"/>
          <w:szCs w:val="32"/>
        </w:rPr>
        <w:t>环境相对湿度：≤90％（+25℃）</w:t>
      </w:r>
    </w:p>
    <w:p>
      <w:pPr>
        <w:numPr>
          <w:ilvl w:val="0"/>
          <w:numId w:val="2"/>
        </w:numPr>
        <w:rPr>
          <w:rFonts w:ascii="宋体" w:hAnsi="宋体" w:cs="宋体"/>
          <w:bCs/>
          <w:color w:val="auto"/>
          <w:sz w:val="32"/>
          <w:szCs w:val="32"/>
        </w:rPr>
      </w:pPr>
      <w:r>
        <w:rPr>
          <w:rFonts w:hint="eastAsia" w:ascii="宋体" w:hAnsi="宋体" w:cs="宋体"/>
          <w:bCs/>
          <w:color w:val="auto"/>
          <w:sz w:val="32"/>
          <w:szCs w:val="32"/>
        </w:rPr>
        <w:t>防污等级：IV级。</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（二）其他</w:t>
      </w:r>
    </w:p>
    <w:p>
      <w:pPr>
        <w:pStyle w:val="8"/>
        <w:ind w:left="0" w:leftChars="0"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提供以下资料</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1、变压器外型图（包括变压器总体外形尺寸、个部件名称、各部件重量）； </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2、产品合格证明书，包括变压器合格证书、主要组部件合格证书；</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3、产品试验报告，包括变压器出厂、型式和特殊试验报告、主要组部件试验报告；</w:t>
      </w:r>
    </w:p>
    <w:p>
      <w:pPr>
        <w:pStyle w:val="8"/>
        <w:ind w:left="0" w:leftChars="0"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4、变压器安装使用说明书及其它相关资料。</w:t>
      </w:r>
    </w:p>
    <w:p>
      <w:pPr>
        <w:pStyle w:val="8"/>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质量保证、付款方式及售后：</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产品实行三包，质保期为一年。在质保期内，因质量问题而造成的设备损坏或不能正常使用时，卖方应无偿更换。</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（以下空白，无正文）</w:t>
      </w:r>
    </w:p>
    <w:p>
      <w:pPr>
        <w:pStyle w:val="8"/>
        <w:numPr>
          <w:ilvl w:val="0"/>
          <w:numId w:val="0"/>
        </w:numPr>
        <w:ind w:leftChars="200"/>
        <w:rPr>
          <w:rFonts w:hint="eastAsia" w:asciiTheme="minorEastAsia" w:hAnsiTheme="minorEastAsia" w:eastAsiaTheme="minorEastAsia" w:cstheme="minorEastAsia"/>
          <w:sz w:val="32"/>
          <w:szCs w:val="32"/>
          <w:lang w:val="en-US" w:eastAsia="zh-CN"/>
        </w:rPr>
      </w:pPr>
    </w:p>
    <w:p/>
    <w:sectPr>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abstractNum w:abstractNumId="1">
    <w:nsid w:val="6489630D"/>
    <w:multiLevelType w:val="singleLevel"/>
    <w:tmpl w:val="6489630D"/>
    <w:lvl w:ilvl="0" w:tentative="0">
      <w:start w:val="1"/>
      <w:numFmt w:val="decimal"/>
      <w:lvlText w:val="%1、"/>
      <w:lvlJc w:val="left"/>
      <w:pPr>
        <w:tabs>
          <w:tab w:val="left" w:pos="420"/>
        </w:tabs>
        <w:ind w:left="105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GZjYTg4YWY0Y2U2MzgxYTFkNzE3ZmVkZmFhNmIifQ=="/>
  </w:docVars>
  <w:rsids>
    <w:rsidRoot w:val="29FF6835"/>
    <w:rsid w:val="004325CA"/>
    <w:rsid w:val="02131202"/>
    <w:rsid w:val="081B3258"/>
    <w:rsid w:val="10117E5B"/>
    <w:rsid w:val="14BD40B0"/>
    <w:rsid w:val="1B915FA6"/>
    <w:rsid w:val="1CD31A7D"/>
    <w:rsid w:val="1CE36F71"/>
    <w:rsid w:val="225560E5"/>
    <w:rsid w:val="226E4C26"/>
    <w:rsid w:val="23851FDE"/>
    <w:rsid w:val="29FF6835"/>
    <w:rsid w:val="2A450F9E"/>
    <w:rsid w:val="2CAF4C5A"/>
    <w:rsid w:val="2FEE2450"/>
    <w:rsid w:val="32F269E3"/>
    <w:rsid w:val="33BD1FB2"/>
    <w:rsid w:val="394C5C67"/>
    <w:rsid w:val="3AA842F2"/>
    <w:rsid w:val="3B5A3002"/>
    <w:rsid w:val="3C9A5D74"/>
    <w:rsid w:val="514813E1"/>
    <w:rsid w:val="5A6701A2"/>
    <w:rsid w:val="61CE50DA"/>
    <w:rsid w:val="62C5556D"/>
    <w:rsid w:val="62CC5CC1"/>
    <w:rsid w:val="62E01600"/>
    <w:rsid w:val="68002771"/>
    <w:rsid w:val="6A4916C3"/>
    <w:rsid w:val="6F312BDD"/>
    <w:rsid w:val="730A6EB1"/>
    <w:rsid w:val="7C00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4"/>
    <w:qFormat/>
    <w:uiPriority w:val="0"/>
    <w:pPr>
      <w:ind w:firstLine="420" w:firstLineChars="200"/>
    </w:pPr>
  </w:style>
  <w:style w:type="paragraph" w:styleId="11">
    <w:name w:val="No Spacing"/>
    <w:qFormat/>
    <w:uiPriority w:val="99"/>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正文"/>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1385</Words>
  <Characters>1560</Characters>
  <Lines>0</Lines>
  <Paragraphs>0</Paragraphs>
  <TotalTime>7</TotalTime>
  <ScaleCrop>false</ScaleCrop>
  <LinksUpToDate>false</LinksUpToDate>
  <CharactersWithSpaces>1634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 </cp:lastModifiedBy>
  <cp:lastPrinted>2022-11-14T09:25:00Z</cp:lastPrinted>
  <dcterms:modified xsi:type="dcterms:W3CDTF">2022-12-08T08:19:52Z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1B7CEB7870E2454A879AC3343CEA583A</vt:lpwstr>
  </property>
</Properties>
</file>