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6"/>
          <w:szCs w:val="36"/>
          <w:lang w:val="en-US" w:eastAsia="zh-CN"/>
        </w:rPr>
      </w:pPr>
      <w:r>
        <w:rPr>
          <w:rFonts w:hint="eastAsia" w:ascii="黑体" w:hAnsi="黑体" w:eastAsia="黑体" w:cs="黑体"/>
          <w:sz w:val="36"/>
          <w:szCs w:val="36"/>
          <w:lang w:val="en-US" w:eastAsia="zh-CN"/>
        </w:rPr>
        <w:t>关于审议参与竞拍神木市木独石犁南-牛定壕区块煤炭勘探探矿权的议案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各位股东：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2023年2月6日，陕西省自然资源厅和陕西省公共资源交易中心（</w:t>
      </w:r>
      <w:r>
        <w:rPr>
          <w:rFonts w:hint="eastAsia" w:ascii="仿宋" w:hAnsi="仿宋" w:eastAsia="仿宋" w:cs="仿宋"/>
          <w:w w:val="66"/>
          <w:sz w:val="32"/>
          <w:szCs w:val="32"/>
          <w:lang w:val="en-US" w:eastAsia="zh-CN"/>
        </w:rPr>
        <w:t>http://www.sxggzyjy.cn/</w:t>
      </w:r>
      <w:r>
        <w:rPr>
          <w:rFonts w:hint="eastAsia" w:ascii="仿宋" w:hAnsi="仿宋" w:eastAsia="仿宋" w:cs="仿宋"/>
          <w:sz w:val="32"/>
          <w:szCs w:val="32"/>
          <w:lang w:val="en-US" w:eastAsia="zh-CN"/>
        </w:rPr>
        <w:t>）发布的《</w:t>
      </w:r>
      <w:r>
        <w:rPr>
          <w:rFonts w:hint="eastAsia" w:ascii="仿宋" w:hAnsi="仿宋" w:eastAsia="仿宋" w:cs="仿宋"/>
          <w:b w:val="0"/>
          <w:bCs w:val="0"/>
          <w:kern w:val="2"/>
          <w:sz w:val="32"/>
          <w:szCs w:val="32"/>
          <w:lang w:val="en-US" w:eastAsia="zh-CN" w:bidi="ar-SA"/>
        </w:rPr>
        <w:t>神木市木独石犁南-牛定壕区块煤炭勘探探</w:t>
      </w:r>
      <w:r>
        <w:rPr>
          <w:rFonts w:hint="eastAsia" w:ascii="仿宋" w:hAnsi="仿宋" w:eastAsia="仿宋" w:cs="仿宋"/>
          <w:sz w:val="32"/>
          <w:szCs w:val="32"/>
          <w:lang w:val="en-US" w:eastAsia="zh-CN"/>
        </w:rPr>
        <w:t>矿权挂牌出让公告》（陕交矿出公告〔2023〕01号）。按照集团公司战略规划，经集团公司2023年2月10日总经理办公扩大会议研究，并经集团公司第一届董事会第四十次会议表决通过，拟同意参与竞拍</w:t>
      </w:r>
      <w:r>
        <w:rPr>
          <w:rFonts w:hint="eastAsia" w:ascii="仿宋" w:hAnsi="仿宋" w:eastAsia="仿宋" w:cs="仿宋"/>
          <w:b w:val="0"/>
          <w:bCs w:val="0"/>
          <w:kern w:val="2"/>
          <w:sz w:val="32"/>
          <w:szCs w:val="32"/>
          <w:lang w:val="en-US" w:eastAsia="zh-CN" w:bidi="ar-SA"/>
        </w:rPr>
        <w:t>神木市木独石犁南-牛定壕区块煤炭勘探探</w:t>
      </w:r>
      <w:r>
        <w:rPr>
          <w:rFonts w:hint="eastAsia" w:ascii="仿宋" w:hAnsi="仿宋" w:eastAsia="仿宋" w:cs="仿宋"/>
          <w:sz w:val="32"/>
          <w:szCs w:val="32"/>
          <w:lang w:val="en-US" w:eastAsia="zh-CN"/>
        </w:rPr>
        <w:t>矿权（以下简称“牛定壕井田”）。现将相关情况汇报如下：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牛定壕井田基本情况</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contextualSpacing/>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（一）位置及交通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牛定壕井田位于神木市西北58.2Km处，行政区划隶属陕西省神木市中鸡镇管辖。交通以公路为主，其中府(谷)～新(街)二级公路（S301省道）从东南处通过，210国道陕（西）～（内）蒙公路从区外的西部通过。包（头）～西（安）铁路从井田东南部通过，距中鸡火车站8Km，东距武家塔露天矿约20公里；汇能集团尔林兔煤矿和益东煤矿的进矿公路（小呼线）从井田中部穿过（见图1）。</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b/>
          <w:bCs/>
          <w:lang w:val="en-US" w:eastAsia="zh-CN"/>
        </w:rPr>
      </w:pPr>
      <w:r>
        <w:rPr>
          <w:rFonts w:hint="eastAsia" w:ascii="仿宋" w:hAnsi="仿宋" w:eastAsia="仿宋" w:cs="仿宋"/>
          <w:b/>
          <w:bCs/>
          <w:sz w:val="28"/>
          <w:szCs w:val="28"/>
          <w:lang w:val="en-US" w:eastAsia="zh-CN"/>
        </w:rPr>
        <w:t>图1  牛定壕</w:t>
      </w:r>
      <w:r>
        <w:rPr>
          <w:rFonts w:ascii="仿宋" w:hAnsi="仿宋" w:eastAsia="仿宋" w:cs="仿宋"/>
          <w:b/>
          <w:bCs/>
          <w:sz w:val="28"/>
          <w:szCs w:val="28"/>
        </w:rPr>
        <w:t>井田位置示意图</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28"/>
          <w:szCs w:val="28"/>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55880</wp:posOffset>
            </wp:positionV>
            <wp:extent cx="5062855" cy="3541395"/>
            <wp:effectExtent l="15875" t="15875" r="26670" b="24130"/>
            <wp:wrapNone/>
            <wp:docPr id="1" name="图片 1" descr="榆林市交通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榆林市交通图3"/>
                    <pic:cNvPicPr>
                      <a:picLocks noChangeAspect="1"/>
                    </pic:cNvPicPr>
                  </pic:nvPicPr>
                  <pic:blipFill>
                    <a:blip r:embed="rId5"/>
                    <a:stretch>
                      <a:fillRect/>
                    </a:stretch>
                  </pic:blipFill>
                  <pic:spPr>
                    <a:xfrm>
                      <a:off x="0" y="0"/>
                      <a:ext cx="5062855" cy="3541395"/>
                    </a:xfrm>
                    <a:prstGeom prst="rect">
                      <a:avLst/>
                    </a:prstGeom>
                    <a:noFill/>
                    <a:ln w="15875" cap="flat" cmpd="sng">
                      <a:solidFill>
                        <a:srgbClr val="000000"/>
                      </a:solidFill>
                      <a:prstDash val="solid"/>
                      <a:miter/>
                      <a:headEnd type="none" w="med" len="med"/>
                      <a:tailEnd type="none" w="med" len="med"/>
                    </a:ln>
                  </pic:spPr>
                </pic:pic>
              </a:graphicData>
            </a:graphic>
          </wp:anchor>
        </w:drawing>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pacing w:val="0"/>
          <w:kern w:val="10"/>
          <w:sz w:val="28"/>
          <w:szCs w:val="28"/>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pacing w:val="0"/>
          <w:kern w:val="10"/>
          <w:sz w:val="28"/>
          <w:szCs w:val="28"/>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pacing w:val="0"/>
          <w:kern w:val="1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b/>
          <w:bCs/>
          <w:spacing w:val="0"/>
          <w:kern w:val="10"/>
          <w:sz w:val="32"/>
          <w:szCs w:val="32"/>
          <w:lang w:val="en-US" w:eastAsia="zh-CN"/>
        </w:rPr>
      </w:pPr>
      <w:r>
        <w:rPr>
          <w:rFonts w:hint="eastAsia" w:ascii="仿宋" w:hAnsi="仿宋" w:eastAsia="仿宋" w:cs="仿宋"/>
          <w:b/>
          <w:bCs/>
          <w:spacing w:val="0"/>
          <w:kern w:val="10"/>
          <w:sz w:val="32"/>
          <w:szCs w:val="32"/>
          <w:lang w:val="en-US" w:eastAsia="zh-CN"/>
        </w:rPr>
        <w:t>（二）勘查程度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勘查矿种为煤，勘查工作程度为勘探，拟出让探矿权面积14.247km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，由19个拐点圈定（国家2000大地坐标），井田拐点坐标如下：</w:t>
      </w:r>
    </w:p>
    <w:p>
      <w:pPr>
        <w:keepNext w:val="0"/>
        <w:keepLines w:val="0"/>
        <w:pageBreakBefore w:val="0"/>
        <w:widowControl w:val="0"/>
        <w:kinsoku/>
        <w:wordWrap/>
        <w:overflowPunct/>
        <w:topLinePunct w:val="0"/>
        <w:autoSpaceDE/>
        <w:autoSpaceDN/>
        <w:bidi w:val="0"/>
        <w:adjustRightInd/>
        <w:snapToGrid/>
        <w:spacing w:line="540" w:lineRule="exact"/>
        <w:ind w:firstLine="561" w:firstLineChars="200"/>
        <w:contextualSpacing/>
        <w:jc w:val="center"/>
        <w:textAlignment w:val="auto"/>
        <w:rPr>
          <w:rFonts w:hint="eastAsia"/>
          <w:b/>
          <w:bCs/>
          <w:lang w:val="en-US" w:eastAsia="zh-CN"/>
        </w:rPr>
      </w:pPr>
      <w:r>
        <w:rPr>
          <w:rFonts w:hint="eastAsia" w:ascii="华文仿宋" w:hAnsi="华文仿宋" w:eastAsia="华文仿宋" w:cs="华文仿宋"/>
          <w:b/>
          <w:bCs/>
          <w:sz w:val="28"/>
          <w:szCs w:val="28"/>
          <w:lang w:val="en-US" w:eastAsia="zh-CN"/>
        </w:rPr>
        <w:t>表1  牛定壕井田拐点坐标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536"/>
        <w:gridCol w:w="1478"/>
        <w:gridCol w:w="782"/>
        <w:gridCol w:w="146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拐点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编号</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X</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Y</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拐点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编号</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X</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华文宋体" w:hAnsi="华文宋体" w:eastAsia="华文宋体" w:cs="华文宋体"/>
                <w:b w:val="0"/>
                <w:bCs w:val="0"/>
                <w:sz w:val="18"/>
                <w:szCs w:val="18"/>
                <w:vertAlign w:val="baseline"/>
                <w:lang w:val="en-US" w:eastAsia="zh-CN"/>
              </w:rPr>
              <w:t>1</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4343331.273</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37409202.215</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11</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4339262.896</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37409749.800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2</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4342531.078</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37409859.491</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12</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4339723.548</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37409746.802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4342437.729</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37409930.400</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13</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4339936.828</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华文宋体" w:hAnsi="华文宋体" w:eastAsia="华文宋体" w:cs="华文宋体"/>
                <w:b w:val="0"/>
                <w:bCs w:val="0"/>
                <w:sz w:val="18"/>
                <w:szCs w:val="18"/>
                <w:vertAlign w:val="baseline"/>
                <w:lang w:val="en-US" w:eastAsia="zh-CN"/>
              </w:rPr>
            </w:pPr>
            <w:r>
              <w:rPr>
                <w:rFonts w:hint="eastAsia" w:ascii="仿宋" w:hAnsi="仿宋" w:eastAsia="仿宋" w:cs="仿宋"/>
                <w:color w:val="000000"/>
                <w:kern w:val="0"/>
                <w:sz w:val="18"/>
                <w:szCs w:val="18"/>
                <w:lang w:val="en-US" w:eastAsia="zh-CN"/>
              </w:rPr>
              <w:t>37409941.883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4342276.917</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37410504.446</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4339999.972</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37409986.818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4342243.608</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37410720.027</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15</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4340203.234</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37409743.679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4342233.791</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37411583.764</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16</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4340433.356</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37409469.461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4341994.030</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37412946.413</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4341722.750</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37407805.503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4342194.355</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37413151.244</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18</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4341777.951</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37407723.192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4341938.218</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37413188.190</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19</w:t>
            </w: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4341853.485</w:t>
            </w: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37407586.770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5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4339250.120</w:t>
            </w:r>
          </w:p>
        </w:tc>
        <w:tc>
          <w:tcPr>
            <w:tcW w:w="14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37413614.437</w:t>
            </w:r>
          </w:p>
        </w:tc>
        <w:tc>
          <w:tcPr>
            <w:tcW w:w="78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p>
        </w:tc>
        <w:tc>
          <w:tcPr>
            <w:tcW w:w="146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p>
        </w:tc>
        <w:tc>
          <w:tcPr>
            <w:tcW w:w="152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color w:val="000000"/>
                <w:kern w:val="0"/>
                <w:sz w:val="18"/>
                <w:szCs w:val="1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2" w:leftChars="0"/>
        <w:jc w:val="both"/>
        <w:textAlignment w:val="auto"/>
        <w:rPr>
          <w:rFonts w:hint="eastAsia" w:ascii="仿宋" w:hAnsi="仿宋" w:eastAsia="仿宋" w:cs="仿宋"/>
          <w:b/>
          <w:sz w:val="32"/>
          <w:szCs w:val="32"/>
        </w:rPr>
      </w:pPr>
      <w:r>
        <w:rPr>
          <w:rFonts w:hint="eastAsia" w:ascii="仿宋" w:hAnsi="仿宋" w:eastAsia="仿宋" w:cs="仿宋"/>
          <w:b/>
          <w:bCs/>
          <w:sz w:val="32"/>
          <w:szCs w:val="32"/>
          <w:lang w:val="en-US" w:eastAsia="zh-CN"/>
        </w:rPr>
        <w:t>（三）周边矿权关系</w:t>
      </w:r>
      <w:r>
        <w:rPr>
          <w:rFonts w:hint="eastAsia" w:ascii="仿宋" w:hAnsi="仿宋" w:eastAsia="仿宋" w:cs="仿宋"/>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牛定壕井田其北、西部以省界为界、西北部与木独石犁勘探区相邻（探矿证号：T61520180901054898）、东部与神木县益东煤矿相邻（采矿证号：C6100002012071120127060）、南部与中鸡勘查区相邻、东北部与内蒙古东胜煤田尔林兔煤矿南侧88号区块煤炭资源勘探区相邻（探矿证号：T1500002021031040056220）、西部与马泰壕煤矿相邻（采矿证号：C1000002017051110145147）</w:t>
      </w:r>
      <w:bookmarkStart w:id="0" w:name="_Hlk122074429"/>
      <w:r>
        <w:rPr>
          <w:rFonts w:hint="eastAsia" w:ascii="仿宋" w:hAnsi="仿宋" w:eastAsia="仿宋" w:cs="仿宋"/>
          <w:sz w:val="32"/>
          <w:szCs w:val="32"/>
          <w:lang w:val="en-US" w:eastAsia="zh-CN"/>
        </w:rPr>
        <w:t>，勘查区与周边矿业权位置关系</w:t>
      </w:r>
      <w:bookmarkEnd w:id="0"/>
      <w:r>
        <w:rPr>
          <w:rFonts w:hint="eastAsia" w:ascii="仿宋" w:hAnsi="仿宋" w:eastAsia="仿宋" w:cs="仿宋"/>
          <w:sz w:val="32"/>
          <w:szCs w:val="32"/>
          <w:lang w:val="en-US" w:eastAsia="zh-CN"/>
        </w:rPr>
        <w:t>见图2。</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r>
        <w:rPr>
          <w:rFonts w:hint="eastAsia" w:ascii="仿宋" w:hAnsi="仿宋" w:eastAsia="仿宋" w:cs="仿宋"/>
          <w:b/>
          <w:bCs/>
          <w:spacing w:val="0"/>
          <w:kern w:val="10"/>
          <w:sz w:val="28"/>
          <w:szCs w:val="28"/>
          <w:lang w:val="en-US" w:eastAsia="zh-CN" w:bidi="ar-SA"/>
        </w:rPr>
        <w:t>图2  矿业权关系图</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32"/>
          <w:szCs w:val="32"/>
        </w:rPr>
      </w:pPr>
      <w:r>
        <w:rPr>
          <w:rFonts w:hint="eastAsia" w:ascii="仿宋" w:hAnsi="仿宋" w:eastAsia="仿宋" w:cs="仿宋"/>
          <w:sz w:val="32"/>
          <w:szCs w:val="32"/>
          <w:lang w:val="en-US" w:eastAsia="zh-CN"/>
        </w:rPr>
        <w:drawing>
          <wp:anchor distT="0" distB="0" distL="114300" distR="114300" simplePos="0" relativeHeight="251660288" behindDoc="1" locked="0" layoutInCell="1" allowOverlap="1">
            <wp:simplePos x="0" y="0"/>
            <wp:positionH relativeFrom="column">
              <wp:posOffset>-51435</wp:posOffset>
            </wp:positionH>
            <wp:positionV relativeFrom="paragraph">
              <wp:posOffset>53975</wp:posOffset>
            </wp:positionV>
            <wp:extent cx="5380990" cy="3348355"/>
            <wp:effectExtent l="0" t="0" r="10160" b="444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380990" cy="3348355"/>
                    </a:xfrm>
                    <a:prstGeom prst="rect">
                      <a:avLst/>
                    </a:prstGeom>
                    <a:noFill/>
                    <a:ln>
                      <a:noFill/>
                    </a:ln>
                  </pic:spPr>
                </pic:pic>
              </a:graphicData>
            </a:graphic>
          </wp:anchor>
        </w:drawing>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kern w:val="1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center"/>
        <w:textAlignment w:val="auto"/>
        <w:rPr>
          <w:rFonts w:hint="eastAsia" w:ascii="仿宋" w:hAnsi="仿宋" w:eastAsia="仿宋" w:cs="仿宋"/>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spacing w:val="0"/>
          <w:kern w:val="10"/>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spacing w:val="0"/>
          <w:kern w:val="10"/>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spacing w:val="0"/>
          <w:kern w:val="10"/>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spacing w:val="0"/>
          <w:kern w:val="10"/>
          <w:sz w:val="32"/>
          <w:szCs w:val="32"/>
          <w:lang w:val="en-US" w:eastAsia="zh-CN" w:bidi="ar-SA"/>
        </w:rPr>
      </w:pPr>
      <w:r>
        <w:rPr>
          <w:rFonts w:hint="eastAsia" w:ascii="仿宋" w:hAnsi="仿宋" w:eastAsia="仿宋" w:cs="仿宋"/>
          <w:b/>
          <w:bCs/>
          <w:spacing w:val="0"/>
          <w:kern w:val="10"/>
          <w:sz w:val="32"/>
          <w:szCs w:val="32"/>
          <w:lang w:val="en-US" w:eastAsia="zh-CN" w:bidi="ar-SA"/>
        </w:rPr>
        <w:t>（四）自然状况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井田位于陕北黄土高原北端与毛乌素沙漠东南缘的接壤地带，地表被第四系黄土及风积沙覆盖，地形特点为南高北底。风沙滩地区地表起伏较小，井田内发育四条南北向沟谷，在沟渠区可见基岩出露。最高点位于中东部的神树沟脑，标高1332m，最低处位于井田东北部的活鸡兔沟，标高1177m，相对高差155m。</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spacing w:val="0"/>
          <w:kern w:val="10"/>
          <w:sz w:val="32"/>
          <w:szCs w:val="32"/>
          <w:lang w:val="en-US" w:eastAsia="zh-CN" w:bidi="ar-SA"/>
        </w:rPr>
      </w:pPr>
      <w:r>
        <w:rPr>
          <w:rFonts w:hint="eastAsia" w:ascii="仿宋" w:hAnsi="仿宋" w:eastAsia="仿宋" w:cs="仿宋"/>
          <w:b/>
          <w:bCs/>
          <w:spacing w:val="0"/>
          <w:kern w:val="10"/>
          <w:sz w:val="32"/>
          <w:szCs w:val="32"/>
          <w:lang w:val="en-US" w:eastAsia="zh-CN" w:bidi="ar-SA"/>
        </w:rPr>
        <w:t>（五）煤层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井田内含煤地层为侏罗系中统延安组，延安组平均厚度221.61m。延安组含可采煤层7层，从上至下编号为1</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、3</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、4</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、5</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，分述如下：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煤层位于延安组第五段中上部，可采面积11.223Km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，占全区面积78.8%，为大部可采，煤层埋深在220.8m至394m之间，底板标高在914.8m至991.2m之间，与下部煤层2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间距为31.17m至41.59m，平均36.28m。井田内见煤孔13个，厚度2.1m～3.10m，平均厚度2.53m，均为可采点，以中厚煤层为主；煤层结构简单，一般无夹矸，局部可见1层夹矸，厚度0.09m～0.326m，岩性为粉砂岩、砂质泥岩，煤层顶底板多以砂质泥岩、粉砂岩及细粒砂岩为主，标准差0.51，变异系数0.19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煤层厚度由西向东逐渐变厚，由北向东南逐渐变薄，规律明显。煤类以不粘煤31号（BN31）为主，部分长焰煤41号（CY41），厚度变化较小、规律性明显、结构简单、煤类单一、煤质变化小、属稳定型煤层。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煤层位于延安组第四段顶部，可采面积14.247Km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，为全区可采，煤层埋深在258.90m至450.86m之间，底板标高在875.08m至954.5m之间，与下部煤层3</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煤层间距为10.45m至34.13m，平均26.01m。井田内见煤孔16个，厚度5.38m～7.08m，平均厚度6.36m，均为可采点，以厚煤层为主，一般不含夹矸，个别钻孔含一到二层夹矸，厚度0.10m～0.44m，岩性以粉砂岩、砂质泥岩为主。煤层顶底板多以中粒砂岩、细粒砂岩、粉砂岩、砂质泥岩为主，底板可见膨润土，标准差0.42，变异系数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该煤层厚度由北向南逐渐变薄，规律明显。煤类以长焰煤41号（CY41）为主，部分不粘煤31号（BN31）。该煤层厚度变化小，规律性明显，结构简单，煤类单一，煤质变化小，属稳定型煤层。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煤层位于延安组第三段顶部，可采面积6.21Km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，占全区面积43.59%，为大部可采，煤层埋深在281.01至480.93m之间，底板标高在845.01m至931.9m之间，与下部煤层4</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间距为30.47m至50.02m，平均39.95m。井田内见煤孔16个，厚度0.20m～1.43m，平均厚度0.72m；可采点8个，厚度0.83m～1.43m，平均厚度1.08m，以薄煤层为主；该煤层普遍含一层夹矸，厚度0.15m～0.67m，大部地段0.50m，岩性以粉砂岩、砂质泥岩、泥岩为主。煤层顶底板多以薄煤、砂质泥岩、细粒砂岩、粉砂岩及砂质泥岩为主，标准差0.29，变异系数0.24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该煤层厚度由西向东逐渐变厚。煤类以长焰煤41号（CY41）为主，部分不粘煤31号（BN31），厚度变化小，规律性明显，结构简单，煤类单一，煤质变化小，属稳定型煤层。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煤层位于延安组第二段中上部，可采面积9.317Km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，占全区面积65.4%，为大部可采，煤层埋深在327.34m至519.6m之间，底板标高在804.88m至876.93m之间，与下部煤层4</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煤层间距为13.22m至21.05m，平均17.92m。井田内见煤孔16个，厚度0.42m～1.11m，平均厚度0.85m；可采点8个，厚度0.88m～1.11m，平均厚度1.00m，均为薄煤层；该煤层偶含一层夹矸，夹矸岩性以粉砂岩，砂质泥岩为主，结构简单，标准差0.13，变异系数0.12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该煤层层厚度由西北向东南逐渐变厚。煤类以不粘煤31号（BN31）为主，部分长焰煤41号（CY41），煤类单一，煤质变化小，属稳定型煤层。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煤层位于延安组第二段中上部，可采面积14.247Km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，为全区可采，煤层埋深在346.18m至537.69m之间，底板标高在788.25m至867.65m之间，与下部煤层5</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煤层间距为11.48m至36.56m，平均26.93m。资源量核实利用的28个钻孔中，井田内见煤孔16个，厚度1.40m～2.13m，平均厚度1.97m，全部可采，以中厚煤层为主；该煤层结构简单，不含夹矸。煤层顶底板多以粉砂岩、砂质泥岩、细粒砂岩为主，标准差0.22，变异系数0.12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该煤层厚度由东向西逐渐变薄，煤类以不粘煤31号（BN31）为主，部分长焰煤41号（CY41），该煤层为全区可采的中厚煤层，厚度变化小，规律性明显，结构简单，煤类单一，煤质变化小，属稳定型煤层。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煤层位于延安组第一段上部，可采面积1.516Km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，占全区面积10.64%，为部分可采，煤层埋深在410.2m至563.74m之间，底板标高在762.20m至814.04m之间，与下部煤层5</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间距为4.39m至26.73m，平均15.04m。井田内见煤孔14个，厚度0.40m～1.71m，平均厚度0.81m；可采点5个，厚度0.8m1～1.71m，平均厚度1.35m，以中厚煤层为主。该煤层结构简单，一般不含夹矸，H17-25孔含1层矸，厚度为0.37m，性为粉砂岩该煤层结构简单，煤层顶底板多以中粒砂岩、粉砂岩、砂质泥岩及细粒砂岩为主，标准差0.31，变异系数0.25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该煤层东部除两个可采点外均不可采，西部煤层厚度由东北向西南逐渐变薄，分布较不规律，属不稳定薄煤层。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煤层位于延安组第一段顶部，可采面积14.247Km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为全区可采，煤层埋深在377.67m至577.7m之间，底板标高在748.24m至833.14m之间。井田内见煤孔16个，厚度0.8m～2.89m，平均厚度1.97m，均为可采点，以中厚煤层为主；该煤层结构简单，一般不含夹矸，少数孔含1～2层矸，厚度为0.11m～0.49m，岩性为粉砂岩和细粒砂岩。煤层顶底板多以中粒砂岩、粉砂岩、砂质泥岩及细粒砂岩为主，标准差0.5，变异系数0.24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该煤层东南部最厚，西部煤层较薄，分布较规律，煤层厚度变化小，规律性明显，一般不含夹矸、结构简单、煤类单一、煤质变化小，属稳定型煤层。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ascii="仿宋" w:hAnsi="仿宋" w:eastAsia="仿宋" w:cs="仿宋"/>
          <w:b/>
          <w:bCs/>
          <w:spacing w:val="0"/>
          <w:kern w:val="10"/>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center"/>
        <w:textAlignment w:val="auto"/>
        <w:rPr>
          <w:rFonts w:hint="eastAsia"/>
          <w:b/>
          <w:bCs/>
          <w:lang w:val="en-US" w:eastAsia="zh-CN"/>
        </w:rPr>
      </w:pPr>
      <w:r>
        <w:rPr>
          <w:rFonts w:hint="eastAsia" w:ascii="仿宋" w:hAnsi="仿宋" w:eastAsia="仿宋" w:cs="仿宋"/>
          <w:b/>
          <w:bCs/>
          <w:spacing w:val="0"/>
          <w:kern w:val="10"/>
          <w:sz w:val="28"/>
          <w:szCs w:val="28"/>
          <w:lang w:val="en-US" w:eastAsia="zh-CN" w:bidi="ar-SA"/>
        </w:rPr>
        <w:t>表2  煤层特征表</w:t>
      </w:r>
    </w:p>
    <w:tbl>
      <w:tblPr>
        <w:tblStyle w:val="7"/>
        <w:tblW w:w="9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1391"/>
        <w:gridCol w:w="1437"/>
        <w:gridCol w:w="1218"/>
        <w:gridCol w:w="1191"/>
        <w:gridCol w:w="863"/>
        <w:gridCol w:w="1327"/>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宋体" w:cs="Times New Roman"/>
                <w:sz w:val="18"/>
                <w:szCs w:val="18"/>
                <w:u w:val="none"/>
                <w:lang w:val="en-US" w:eastAsia="zh-CN"/>
              </w:rPr>
            </w:pPr>
            <w:r>
              <w:rPr>
                <w:rFonts w:hint="eastAsia" w:eastAsia="宋体" w:cs="Times New Roman"/>
                <w:sz w:val="18"/>
                <w:szCs w:val="18"/>
                <w:u w:val="none"/>
                <w:lang w:val="en-US" w:eastAsia="zh-CN"/>
              </w:rPr>
              <w:t>煤层编号</w:t>
            </w:r>
          </w:p>
        </w:tc>
        <w:tc>
          <w:tcPr>
            <w:tcW w:w="13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lang w:val="en-US" w:eastAsia="zh-CN"/>
              </w:rPr>
            </w:pPr>
            <w:r>
              <w:rPr>
                <w:rFonts w:hint="eastAsia"/>
                <w:sz w:val="18"/>
                <w:szCs w:val="18"/>
                <w:lang w:val="en-US" w:eastAsia="zh-CN"/>
              </w:rPr>
              <w:t>底板标高</w:t>
            </w:r>
          </w:p>
          <w:p>
            <w:pPr>
              <w:pStyle w:val="2"/>
              <w:rPr>
                <w:rFonts w:hint="eastAsia"/>
                <w:sz w:val="18"/>
                <w:szCs w:val="18"/>
                <w:lang w:val="en-US" w:eastAsia="zh-CN"/>
              </w:rPr>
            </w:pPr>
            <w:r>
              <w:rPr>
                <w:rFonts w:hint="eastAsia" w:eastAsia="宋体" w:cs="Times New Roman"/>
                <w:sz w:val="18"/>
                <w:szCs w:val="18"/>
                <w:u w:val="none"/>
                <w:lang w:val="en-US" w:eastAsia="zh-CN"/>
              </w:rPr>
              <w:t>（米）</w:t>
            </w:r>
          </w:p>
        </w:tc>
        <w:tc>
          <w:tcPr>
            <w:tcW w:w="14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lang w:val="en-US" w:eastAsia="zh-CN"/>
              </w:rPr>
            </w:pPr>
            <w:r>
              <w:rPr>
                <w:rFonts w:hint="eastAsia"/>
                <w:sz w:val="18"/>
                <w:szCs w:val="18"/>
                <w:lang w:val="en-US" w:eastAsia="zh-CN"/>
              </w:rPr>
              <w:t>煤层埋深</w:t>
            </w:r>
          </w:p>
          <w:p>
            <w:pPr>
              <w:pStyle w:val="2"/>
              <w:rPr>
                <w:rFonts w:hint="default"/>
                <w:sz w:val="18"/>
                <w:szCs w:val="18"/>
                <w:lang w:val="en-US" w:eastAsia="zh-CN"/>
              </w:rPr>
            </w:pPr>
            <w:r>
              <w:rPr>
                <w:rFonts w:hint="eastAsia" w:eastAsia="宋体" w:cs="Times New Roman"/>
                <w:sz w:val="18"/>
                <w:szCs w:val="18"/>
                <w:u w:val="none"/>
                <w:lang w:val="en-US" w:eastAsia="zh-CN"/>
              </w:rPr>
              <w:t>（米）</w:t>
            </w:r>
          </w:p>
        </w:tc>
        <w:tc>
          <w:tcPr>
            <w:tcW w:w="12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u w:val="single"/>
                <w:lang w:val="en-US" w:eastAsia="zh-CN"/>
              </w:rPr>
            </w:pPr>
            <w:r>
              <w:rPr>
                <w:rFonts w:hint="eastAsia"/>
                <w:sz w:val="18"/>
                <w:szCs w:val="18"/>
                <w:u w:val="single"/>
                <w:lang w:val="en-US" w:eastAsia="zh-CN"/>
              </w:rPr>
              <w:t>自然厚度</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平均厚</w:t>
            </w:r>
          </w:p>
        </w:tc>
        <w:tc>
          <w:tcPr>
            <w:tcW w:w="11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u w:val="single"/>
                <w:lang w:val="en-US" w:eastAsia="zh-CN"/>
              </w:rPr>
            </w:pPr>
            <w:r>
              <w:rPr>
                <w:rFonts w:hint="eastAsia"/>
                <w:sz w:val="18"/>
                <w:szCs w:val="18"/>
                <w:u w:val="single"/>
                <w:lang w:val="en-US" w:eastAsia="zh-CN"/>
              </w:rPr>
              <w:t>可采厚度</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sz w:val="18"/>
                <w:szCs w:val="18"/>
                <w:lang w:val="en-US"/>
              </w:rPr>
            </w:pPr>
            <w:r>
              <w:rPr>
                <w:rFonts w:hint="eastAsia" w:ascii="宋体" w:hAnsi="宋体" w:eastAsia="宋体" w:cs="宋体"/>
                <w:i w:val="0"/>
                <w:iCs w:val="0"/>
                <w:color w:val="000000"/>
                <w:kern w:val="0"/>
                <w:sz w:val="18"/>
                <w:szCs w:val="18"/>
                <w:u w:val="none"/>
                <w:lang w:val="en-US" w:eastAsia="zh-CN" w:bidi="ar"/>
              </w:rPr>
              <w:t>平均厚</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lang w:val="en-US" w:eastAsia="zh-CN"/>
              </w:rPr>
            </w:pPr>
            <w:r>
              <w:rPr>
                <w:rFonts w:hint="eastAsia"/>
                <w:sz w:val="18"/>
                <w:szCs w:val="18"/>
                <w:lang w:val="en-US" w:eastAsia="zh-CN"/>
              </w:rPr>
              <w:t>可采煤层面积</w:t>
            </w:r>
          </w:p>
          <w:p>
            <w:pPr>
              <w:pStyle w:val="2"/>
              <w:ind w:left="0" w:leftChars="0" w:firstLine="0" w:firstLineChars="0"/>
              <w:rPr>
                <w:rFonts w:hint="eastAsia"/>
                <w:sz w:val="18"/>
                <w:szCs w:val="18"/>
              </w:rPr>
            </w:pPr>
            <w:r>
              <w:rPr>
                <w:rFonts w:hint="eastAsia" w:ascii="宋体" w:hAnsi="宋体" w:eastAsia="宋体" w:cs="宋体"/>
                <w:i w:val="0"/>
                <w:iCs w:val="0"/>
                <w:color w:val="000000"/>
                <w:kern w:val="0"/>
                <w:sz w:val="18"/>
                <w:szCs w:val="18"/>
                <w:u w:val="none"/>
                <w:lang w:val="en-US" w:eastAsia="zh-CN" w:bidi="ar"/>
              </w:rPr>
              <w:t>（km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w:t>
            </w:r>
          </w:p>
        </w:tc>
        <w:tc>
          <w:tcPr>
            <w:tcW w:w="13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18"/>
                <w:szCs w:val="18"/>
                <w:lang w:val="en-US" w:eastAsia="zh-CN"/>
              </w:rPr>
            </w:pPr>
            <w:r>
              <w:rPr>
                <w:rFonts w:hint="eastAsia"/>
                <w:sz w:val="18"/>
                <w:szCs w:val="18"/>
                <w:lang w:val="en-US" w:eastAsia="zh-CN"/>
              </w:rPr>
              <w:t>层间距</w:t>
            </w:r>
          </w:p>
          <w:p>
            <w:pPr>
              <w:pStyle w:val="2"/>
              <w:rPr>
                <w:rFonts w:hint="default"/>
                <w:sz w:val="18"/>
                <w:szCs w:val="18"/>
                <w:lang w:val="en-US"/>
              </w:rPr>
            </w:pPr>
            <w:r>
              <w:rPr>
                <w:rFonts w:hint="eastAsia" w:ascii="宋体" w:hAnsi="宋体" w:eastAsia="宋体" w:cs="宋体"/>
                <w:i w:val="0"/>
                <w:iCs w:val="0"/>
                <w:color w:val="000000"/>
                <w:kern w:val="0"/>
                <w:sz w:val="18"/>
                <w:szCs w:val="18"/>
                <w:u w:val="none"/>
                <w:lang w:val="en-US" w:eastAsia="zh-CN" w:bidi="ar"/>
              </w:rPr>
              <w:t>(米）</w:t>
            </w:r>
          </w:p>
        </w:tc>
        <w:tc>
          <w:tcPr>
            <w:tcW w:w="1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煤厚变化及稳定性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55" w:type="dxa"/>
            <w:vMerge w:val="restart"/>
            <w:tcBorders>
              <w:top w:val="single" w:color="auto" w:sz="4" w:space="0"/>
              <w:left w:val="single" w:color="auto" w:sz="4" w:space="0"/>
              <w:right w:val="single" w:color="auto" w:sz="4" w:space="0"/>
            </w:tcBorders>
            <w:shd w:val="clear" w:color="auto" w:fill="C7DAF1"/>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vertAlign w:val="superscript"/>
                <w:lang w:val="en-US" w:eastAsia="zh-CN"/>
              </w:rPr>
              <w:t>-2</w:t>
            </w:r>
          </w:p>
        </w:tc>
        <w:tc>
          <w:tcPr>
            <w:tcW w:w="1391"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914.8-991.2</w:t>
            </w:r>
          </w:p>
        </w:tc>
        <w:tc>
          <w:tcPr>
            <w:tcW w:w="1437"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220.8-394</w:t>
            </w:r>
          </w:p>
        </w:tc>
        <w:tc>
          <w:tcPr>
            <w:tcW w:w="1218"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2.1-3.10</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2.53（13）</w:t>
            </w:r>
          </w:p>
        </w:tc>
        <w:tc>
          <w:tcPr>
            <w:tcW w:w="1191"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2.1-3.10</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2.53（13）</w:t>
            </w:r>
          </w:p>
        </w:tc>
        <w:tc>
          <w:tcPr>
            <w:tcW w:w="863"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11.223</w:t>
            </w:r>
          </w:p>
        </w:tc>
        <w:tc>
          <w:tcPr>
            <w:tcW w:w="132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由西向东变厚，由北向南变薄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continue"/>
            <w:tcBorders>
              <w:left w:val="single" w:color="auto" w:sz="4" w:space="0"/>
              <w:bottom w:val="single" w:color="auto" w:sz="4" w:space="0"/>
              <w:right w:val="single" w:color="auto" w:sz="4" w:space="0"/>
            </w:tcBorders>
            <w:shd w:val="clear" w:color="auto" w:fill="C7DAF1"/>
            <w:noWrap/>
            <w:vAlign w:val="center"/>
          </w:tcPr>
          <w:p>
            <w:pPr>
              <w:jc w:val="center"/>
              <w:rPr>
                <w:rFonts w:hint="eastAsia" w:ascii="宋体" w:hAnsi="宋体" w:eastAsia="宋体" w:cs="宋体"/>
                <w:i w:val="0"/>
                <w:iCs w:val="0"/>
                <w:color w:val="000000"/>
                <w:sz w:val="18"/>
                <w:szCs w:val="18"/>
                <w:u w:val="none"/>
                <w:lang w:val="en-US" w:eastAsia="zh-CN"/>
              </w:rPr>
            </w:pPr>
          </w:p>
        </w:tc>
        <w:tc>
          <w:tcPr>
            <w:tcW w:w="13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lang w:val="en-US" w:eastAsia="zh-CN"/>
              </w:rPr>
            </w:pPr>
          </w:p>
        </w:tc>
        <w:tc>
          <w:tcPr>
            <w:tcW w:w="1437"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lang w:val="en-US" w:eastAsia="zh-CN"/>
              </w:rPr>
            </w:pPr>
          </w:p>
        </w:tc>
        <w:tc>
          <w:tcPr>
            <w:tcW w:w="1218" w:type="dxa"/>
            <w:vMerge w:val="continue"/>
            <w:tcBorders>
              <w:left w:val="single" w:color="auto" w:sz="4" w:space="0"/>
              <w:bottom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lang w:val="en-US" w:eastAsia="zh-CN"/>
              </w:rPr>
            </w:pPr>
          </w:p>
        </w:tc>
        <w:tc>
          <w:tcPr>
            <w:tcW w:w="11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lang w:val="en-US" w:eastAsia="zh-CN"/>
              </w:rPr>
            </w:pPr>
          </w:p>
        </w:tc>
        <w:tc>
          <w:tcPr>
            <w:tcW w:w="863"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lang w:val="en-US" w:eastAsia="zh-CN"/>
              </w:rPr>
            </w:pPr>
          </w:p>
        </w:tc>
        <w:tc>
          <w:tcPr>
            <w:tcW w:w="132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31.17-41.59</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36.28（13）</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restart"/>
            <w:tcBorders>
              <w:top w:val="single" w:color="auto" w:sz="4" w:space="0"/>
              <w:left w:val="single" w:color="auto" w:sz="4" w:space="0"/>
              <w:right w:val="single" w:color="auto" w:sz="4" w:space="0"/>
            </w:tcBorders>
            <w:shd w:val="clear" w:color="auto" w:fill="C7DAF1"/>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vertAlign w:val="superscript"/>
                <w:lang w:val="en-US" w:eastAsia="zh-CN"/>
              </w:rPr>
              <w:t>-2</w:t>
            </w:r>
          </w:p>
        </w:tc>
        <w:tc>
          <w:tcPr>
            <w:tcW w:w="1391"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875.08-954.5</w:t>
            </w:r>
          </w:p>
        </w:tc>
        <w:tc>
          <w:tcPr>
            <w:tcW w:w="1437"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258.90-450.86</w:t>
            </w:r>
          </w:p>
        </w:tc>
        <w:tc>
          <w:tcPr>
            <w:tcW w:w="1218"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5.38-7.08</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6.36（16）</w:t>
            </w:r>
          </w:p>
        </w:tc>
        <w:tc>
          <w:tcPr>
            <w:tcW w:w="1191"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5.38-7.08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6.36（16）</w:t>
            </w:r>
          </w:p>
        </w:tc>
        <w:tc>
          <w:tcPr>
            <w:tcW w:w="863"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14.247</w:t>
            </w:r>
          </w:p>
        </w:tc>
        <w:tc>
          <w:tcPr>
            <w:tcW w:w="132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由北向南变薄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continue"/>
            <w:tcBorders>
              <w:left w:val="single" w:color="auto" w:sz="4" w:space="0"/>
              <w:bottom w:val="single" w:color="auto" w:sz="4" w:space="0"/>
              <w:right w:val="single" w:color="auto" w:sz="4" w:space="0"/>
            </w:tcBorders>
            <w:shd w:val="clear" w:color="auto" w:fill="C7DAF1"/>
            <w:noWrap/>
            <w:vAlign w:val="center"/>
          </w:tcPr>
          <w:p>
            <w:pPr>
              <w:jc w:val="center"/>
              <w:rPr>
                <w:rFonts w:hint="eastAsia" w:ascii="宋体" w:hAnsi="宋体" w:eastAsia="宋体" w:cs="宋体"/>
                <w:i w:val="0"/>
                <w:iCs w:val="0"/>
                <w:color w:val="000000"/>
                <w:sz w:val="18"/>
                <w:szCs w:val="18"/>
                <w:u w:val="none"/>
              </w:rPr>
            </w:pPr>
          </w:p>
        </w:tc>
        <w:tc>
          <w:tcPr>
            <w:tcW w:w="13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437"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218"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1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863"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32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10.45-34.13</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26.01（16）</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restart"/>
            <w:tcBorders>
              <w:top w:val="single" w:color="auto" w:sz="4" w:space="0"/>
              <w:left w:val="single" w:color="auto" w:sz="4" w:space="0"/>
              <w:right w:val="single" w:color="auto"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vertAlign w:val="superscript"/>
                <w:lang w:val="en-US" w:eastAsia="zh-CN"/>
              </w:rPr>
              <w:t>-1</w:t>
            </w:r>
          </w:p>
        </w:tc>
        <w:tc>
          <w:tcPr>
            <w:tcW w:w="1391"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845.01-931.9</w:t>
            </w:r>
          </w:p>
        </w:tc>
        <w:tc>
          <w:tcPr>
            <w:tcW w:w="1437"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281.01-480.93</w:t>
            </w:r>
          </w:p>
        </w:tc>
        <w:tc>
          <w:tcPr>
            <w:tcW w:w="121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0.20-1.43</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0.72（16）</w:t>
            </w:r>
          </w:p>
        </w:tc>
        <w:tc>
          <w:tcPr>
            <w:tcW w:w="119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0.83-1.43</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1.08（8）</w:t>
            </w:r>
          </w:p>
        </w:tc>
        <w:tc>
          <w:tcPr>
            <w:tcW w:w="863"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6.21</w:t>
            </w:r>
          </w:p>
        </w:tc>
        <w:tc>
          <w:tcPr>
            <w:tcW w:w="132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2"/>
                <w:sz w:val="18"/>
                <w:szCs w:val="18"/>
                <w:u w:val="none"/>
                <w:lang w:val="en-US" w:eastAsia="zh-CN" w:bidi="ar-SA"/>
              </w:rPr>
              <w:t>由西向东变厚，局部可采，属不稳定煤层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55"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c>
          <w:tcPr>
            <w:tcW w:w="13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218"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1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863"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32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30.47-50.02</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39.95（16）</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restart"/>
            <w:tcBorders>
              <w:top w:val="single" w:color="auto" w:sz="4" w:space="0"/>
              <w:left w:val="single" w:color="auto" w:sz="4" w:space="0"/>
              <w:right w:val="single" w:color="auto"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r>
              <w:rPr>
                <w:rFonts w:hint="eastAsia" w:ascii="宋体" w:hAnsi="宋体" w:eastAsia="宋体" w:cs="宋体"/>
                <w:i w:val="0"/>
                <w:iCs w:val="0"/>
                <w:color w:val="000000"/>
                <w:sz w:val="18"/>
                <w:szCs w:val="18"/>
                <w:u w:val="none"/>
                <w:vertAlign w:val="superscript"/>
                <w:lang w:val="en-US" w:eastAsia="zh-CN"/>
              </w:rPr>
              <w:t>-2</w:t>
            </w:r>
          </w:p>
        </w:tc>
        <w:tc>
          <w:tcPr>
            <w:tcW w:w="1391"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804.88-876.9</w:t>
            </w:r>
          </w:p>
        </w:tc>
        <w:tc>
          <w:tcPr>
            <w:tcW w:w="1437"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327.34-519.6</w:t>
            </w:r>
          </w:p>
        </w:tc>
        <w:tc>
          <w:tcPr>
            <w:tcW w:w="121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0.42-1.11</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0.85（16）</w:t>
            </w:r>
          </w:p>
        </w:tc>
        <w:tc>
          <w:tcPr>
            <w:tcW w:w="119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0.88-1.11</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1.00（8）</w:t>
            </w:r>
          </w:p>
        </w:tc>
        <w:tc>
          <w:tcPr>
            <w:tcW w:w="863"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9.317</w:t>
            </w:r>
          </w:p>
        </w:tc>
        <w:tc>
          <w:tcPr>
            <w:tcW w:w="132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由西北向东南变厚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55"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c>
          <w:tcPr>
            <w:tcW w:w="13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218"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1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863"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32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13.22-21.05</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17.92（28）</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restart"/>
            <w:tcBorders>
              <w:top w:val="single" w:color="auto" w:sz="4" w:space="0"/>
              <w:left w:val="single" w:color="auto" w:sz="4" w:space="0"/>
              <w:right w:val="single" w:color="auto" w:sz="4" w:space="0"/>
            </w:tcBorders>
            <w:shd w:val="clear" w:color="auto" w:fill="C7DAF1"/>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r>
              <w:rPr>
                <w:rFonts w:hint="eastAsia" w:ascii="宋体" w:hAnsi="宋体" w:eastAsia="宋体" w:cs="宋体"/>
                <w:i w:val="0"/>
                <w:iCs w:val="0"/>
                <w:color w:val="000000"/>
                <w:sz w:val="18"/>
                <w:szCs w:val="18"/>
                <w:u w:val="none"/>
                <w:vertAlign w:val="superscript"/>
                <w:lang w:val="en-US" w:eastAsia="zh-CN"/>
              </w:rPr>
              <w:t>-3</w:t>
            </w:r>
          </w:p>
        </w:tc>
        <w:tc>
          <w:tcPr>
            <w:tcW w:w="1391" w:type="dxa"/>
            <w:vMerge w:val="restart"/>
            <w:tcBorders>
              <w:top w:val="single" w:color="auto" w:sz="4" w:space="0"/>
              <w:left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788.2-867.65</w:t>
            </w:r>
          </w:p>
        </w:tc>
        <w:tc>
          <w:tcPr>
            <w:tcW w:w="1437" w:type="dxa"/>
            <w:vMerge w:val="restart"/>
            <w:tcBorders>
              <w:top w:val="single" w:color="auto" w:sz="4" w:space="0"/>
              <w:left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346.18-537.69</w:t>
            </w:r>
          </w:p>
        </w:tc>
        <w:tc>
          <w:tcPr>
            <w:tcW w:w="1218"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1.40-2.13</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1.97（16）</w:t>
            </w:r>
          </w:p>
        </w:tc>
        <w:tc>
          <w:tcPr>
            <w:tcW w:w="1191" w:type="dxa"/>
            <w:vMerge w:val="restart"/>
            <w:tcBorders>
              <w:top w:val="single" w:color="auto" w:sz="4" w:space="0"/>
              <w:left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1.40-2.13</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1.97（16）</w:t>
            </w:r>
          </w:p>
        </w:tc>
        <w:tc>
          <w:tcPr>
            <w:tcW w:w="863" w:type="dxa"/>
            <w:vMerge w:val="restart"/>
            <w:tcBorders>
              <w:top w:val="single" w:color="auto" w:sz="4" w:space="0"/>
              <w:left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14.247</w:t>
            </w:r>
          </w:p>
        </w:tc>
        <w:tc>
          <w:tcPr>
            <w:tcW w:w="132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jc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由东向西变薄，全区可采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55" w:type="dxa"/>
            <w:vMerge w:val="continue"/>
            <w:tcBorders>
              <w:left w:val="single" w:color="auto" w:sz="4" w:space="0"/>
              <w:bottom w:val="single" w:color="auto" w:sz="4" w:space="0"/>
              <w:right w:val="single" w:color="auto" w:sz="4" w:space="0"/>
            </w:tcBorders>
            <w:shd w:val="clear" w:color="auto" w:fill="C7DAF1"/>
            <w:noWrap/>
            <w:vAlign w:val="center"/>
          </w:tcPr>
          <w:p>
            <w:pPr>
              <w:jc w:val="center"/>
              <w:rPr>
                <w:rFonts w:hint="eastAsia" w:ascii="宋体" w:hAnsi="宋体" w:eastAsia="宋体" w:cs="宋体"/>
                <w:i w:val="0"/>
                <w:iCs w:val="0"/>
                <w:color w:val="000000"/>
                <w:sz w:val="18"/>
                <w:szCs w:val="18"/>
                <w:u w:val="none"/>
              </w:rPr>
            </w:pPr>
          </w:p>
        </w:tc>
        <w:tc>
          <w:tcPr>
            <w:tcW w:w="13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437"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218"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191"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863" w:type="dxa"/>
            <w:vMerge w:val="continue"/>
            <w:tcBorders>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32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11.48-36.56</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26.93（28）</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55" w:type="dxa"/>
            <w:vMerge w:val="restart"/>
            <w:tcBorders>
              <w:top w:val="single" w:color="auto" w:sz="4" w:space="0"/>
              <w:left w:val="single" w:color="auto" w:sz="4" w:space="0"/>
              <w:right w:val="single" w:color="auto"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vertAlign w:val="superscript"/>
                <w:lang w:val="en-US" w:eastAsia="zh-CN"/>
              </w:rPr>
              <w:t>-1</w:t>
            </w:r>
          </w:p>
        </w:tc>
        <w:tc>
          <w:tcPr>
            <w:tcW w:w="1391" w:type="dxa"/>
            <w:vMerge w:val="restart"/>
            <w:tcBorders>
              <w:top w:val="single" w:color="auto" w:sz="4" w:space="0"/>
              <w:left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762.2-814.04</w:t>
            </w:r>
          </w:p>
        </w:tc>
        <w:tc>
          <w:tcPr>
            <w:tcW w:w="1437"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410.2-563.74</w:t>
            </w:r>
          </w:p>
        </w:tc>
        <w:tc>
          <w:tcPr>
            <w:tcW w:w="121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0.40-1.71</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0.81（16）</w:t>
            </w:r>
          </w:p>
        </w:tc>
        <w:tc>
          <w:tcPr>
            <w:tcW w:w="119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0.81-1.71</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1.35（5）</w:t>
            </w:r>
          </w:p>
        </w:tc>
        <w:tc>
          <w:tcPr>
            <w:tcW w:w="863" w:type="dxa"/>
            <w:vMerge w:val="restart"/>
            <w:tcBorders>
              <w:top w:val="single" w:color="auto" w:sz="4" w:space="0"/>
              <w:left w:val="single" w:color="auto" w:sz="4" w:space="0"/>
              <w:right w:val="single" w:color="auto" w:sz="4" w:space="0"/>
            </w:tcBorders>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1.516</w:t>
            </w:r>
          </w:p>
        </w:tc>
        <w:tc>
          <w:tcPr>
            <w:tcW w:w="132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由东北向西南变薄，属局部可采，不稳定煤层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c>
          <w:tcPr>
            <w:tcW w:w="13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7"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218"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19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863"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32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4.39-26.73</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15.04（14）</w:t>
            </w:r>
          </w:p>
        </w:tc>
        <w:tc>
          <w:tcPr>
            <w:tcW w:w="1431"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5"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vertAlign w:val="superscript"/>
                <w:lang w:val="en-US" w:eastAsia="zh-CN"/>
              </w:rPr>
              <w:t>-2</w:t>
            </w:r>
          </w:p>
        </w:tc>
        <w:tc>
          <w:tcPr>
            <w:tcW w:w="1391"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748.2-833.14</w:t>
            </w:r>
          </w:p>
        </w:tc>
        <w:tc>
          <w:tcPr>
            <w:tcW w:w="1437"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377.67-577.7</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0.8-2.89</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1.97（16）</w:t>
            </w:r>
          </w:p>
        </w:tc>
        <w:tc>
          <w:tcPr>
            <w:tcW w:w="1191"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18"/>
                <w:szCs w:val="18"/>
                <w:u w:val="single"/>
                <w:lang w:val="en-US" w:eastAsia="zh-CN"/>
              </w:rPr>
            </w:pPr>
            <w:r>
              <w:rPr>
                <w:rFonts w:hint="eastAsia" w:ascii="宋体" w:hAnsi="宋体" w:eastAsia="宋体" w:cs="宋体"/>
                <w:i w:val="0"/>
                <w:iCs w:val="0"/>
                <w:color w:val="000000"/>
                <w:sz w:val="18"/>
                <w:szCs w:val="18"/>
                <w:u w:val="single"/>
                <w:lang w:val="en-US" w:eastAsia="zh-CN"/>
              </w:rPr>
              <w:t>0.8-2.89</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1.97（16）</w:t>
            </w:r>
          </w:p>
        </w:tc>
        <w:tc>
          <w:tcPr>
            <w:tcW w:w="863" w:type="dxa"/>
            <w:vMerge w:val="restart"/>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14.247</w:t>
            </w:r>
          </w:p>
        </w:tc>
        <w:tc>
          <w:tcPr>
            <w:tcW w:w="132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2"/>
                <w:sz w:val="18"/>
                <w:szCs w:val="18"/>
                <w:u w:val="none"/>
                <w:lang w:val="en-US" w:eastAsia="zh-CN" w:bidi="ar-SA"/>
              </w:rPr>
              <w:t>东南部最厚，西部较薄，属稳定性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5"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437"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191"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863" w:type="dxa"/>
            <w:vMerge w:val="continue"/>
            <w:tcBorders>
              <w:top w:val="single" w:color="auto" w:sz="4" w:space="0"/>
              <w:left w:val="single" w:color="auto" w:sz="4" w:space="0"/>
              <w:bottom w:val="single" w:color="auto" w:sz="4" w:space="0"/>
              <w:right w:val="single" w:color="auto" w:sz="4" w:space="0"/>
            </w:tcBorders>
            <w:shd w:val="clear" w:color="auto" w:fill="C7DAF1"/>
            <w:noWrap/>
            <w:vAlign w:val="center"/>
          </w:tcPr>
          <w:p>
            <w:pPr>
              <w:rPr>
                <w:rFonts w:hint="eastAsia" w:ascii="宋体" w:hAnsi="宋体" w:eastAsia="宋体" w:cs="宋体"/>
                <w:i w:val="0"/>
                <w:iCs w:val="0"/>
                <w:color w:val="000000"/>
                <w:sz w:val="18"/>
                <w:szCs w:val="18"/>
                <w:u w:val="none"/>
              </w:rPr>
            </w:pPr>
          </w:p>
        </w:tc>
        <w:tc>
          <w:tcPr>
            <w:tcW w:w="132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c>
          <w:tcPr>
            <w:tcW w:w="1431"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18"/>
                <w:szCs w:val="18"/>
                <w:u w:val="none"/>
              </w:rPr>
            </w:pPr>
          </w:p>
        </w:tc>
      </w:tr>
    </w:tbl>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 w:hAnsi="仿宋" w:eastAsia="仿宋" w:cs="仿宋"/>
          <w:b/>
          <w:bCs/>
          <w:spacing w:val="0"/>
          <w:kern w:val="10"/>
          <w:sz w:val="32"/>
          <w:szCs w:val="32"/>
          <w:lang w:val="en-US" w:eastAsia="zh-CN" w:bidi="ar-SA"/>
        </w:rPr>
      </w:pPr>
      <w:r>
        <w:rPr>
          <w:rFonts w:hint="eastAsia" w:ascii="仿宋" w:hAnsi="仿宋" w:eastAsia="仿宋" w:cs="仿宋"/>
          <w:b/>
          <w:bCs/>
          <w:spacing w:val="0"/>
          <w:kern w:val="10"/>
          <w:sz w:val="32"/>
          <w:szCs w:val="32"/>
          <w:lang w:val="en-US" w:eastAsia="zh-CN" w:bidi="ar-SA"/>
        </w:rPr>
        <w:t>（六）储量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牛定壕井田面积14.247Km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,含煤地层为侏罗系中统延安组，煤层倾角约1度，可采煤层为7层，从上至下编号为1</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、3</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、4</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vertAlign w:val="superscript"/>
          <w:lang w:val="en-US" w:eastAsia="zh-CN"/>
        </w:rPr>
        <w:t>-1</w:t>
      </w:r>
      <w:r>
        <w:rPr>
          <w:rFonts w:hint="eastAsia" w:ascii="仿宋" w:hAnsi="仿宋" w:eastAsia="仿宋" w:cs="仿宋"/>
          <w:sz w:val="32"/>
          <w:szCs w:val="32"/>
          <w:lang w:val="en-US" w:eastAsia="zh-CN"/>
        </w:rPr>
        <w:t>、5</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，其中主要可采煤层为1</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。按照神木市政府上报榆林市政府文件《神木市边角资源方案》，井田内资源量约19300万吨（不包括铁路和省道压覆量）。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（七）地层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根据地质填图及钻孔揭露，区域地层由老至新有三叠系上统永坪组（T</w:t>
      </w:r>
      <w:r>
        <w:rPr>
          <w:rFonts w:hint="eastAsia" w:ascii="仿宋" w:hAnsi="仿宋" w:eastAsia="仿宋" w:cs="仿宋"/>
          <w:sz w:val="32"/>
          <w:szCs w:val="32"/>
          <w:vertAlign w:val="subscript"/>
          <w:lang w:val="en-US" w:eastAsia="zh-CN"/>
        </w:rPr>
        <w:t>3</w:t>
      </w:r>
      <w:r>
        <w:rPr>
          <w:rFonts w:hint="eastAsia" w:ascii="仿宋" w:hAnsi="仿宋" w:eastAsia="仿宋" w:cs="仿宋"/>
          <w:sz w:val="32"/>
          <w:szCs w:val="32"/>
          <w:vertAlign w:val="superscript"/>
          <w:lang w:val="en-US" w:eastAsia="zh-CN"/>
        </w:rPr>
        <w:t>y</w:t>
      </w:r>
      <w:r>
        <w:rPr>
          <w:rFonts w:hint="eastAsia" w:ascii="仿宋" w:hAnsi="仿宋" w:eastAsia="仿宋" w:cs="仿宋"/>
          <w:sz w:val="32"/>
          <w:szCs w:val="32"/>
          <w:lang w:val="en-US" w:eastAsia="zh-CN"/>
        </w:rPr>
        <w:t>），瓦窑堡组，侏罗系下统富县组（J</w:t>
      </w:r>
      <w:r>
        <w:rPr>
          <w:rFonts w:hint="eastAsia" w:ascii="仿宋" w:hAnsi="仿宋" w:eastAsia="仿宋" w:cs="仿宋"/>
          <w:sz w:val="32"/>
          <w:szCs w:val="32"/>
          <w:vertAlign w:val="subscript"/>
          <w:lang w:val="en-US" w:eastAsia="zh-CN"/>
        </w:rPr>
        <w:t>1</w:t>
      </w:r>
      <w:r>
        <w:rPr>
          <w:rFonts w:hint="eastAsia" w:ascii="仿宋" w:hAnsi="仿宋" w:eastAsia="仿宋" w:cs="仿宋"/>
          <w:sz w:val="32"/>
          <w:szCs w:val="32"/>
          <w:vertAlign w:val="superscript"/>
          <w:lang w:val="en-US" w:eastAsia="zh-CN"/>
        </w:rPr>
        <w:t>f</w:t>
      </w:r>
      <w:r>
        <w:rPr>
          <w:rFonts w:hint="eastAsia" w:ascii="仿宋" w:hAnsi="仿宋" w:eastAsia="仿宋" w:cs="仿宋"/>
          <w:sz w:val="32"/>
          <w:szCs w:val="32"/>
          <w:lang w:val="en-US" w:eastAsia="zh-CN"/>
        </w:rPr>
        <w:t>）、侏罗系中统延安组（J</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vertAlign w:val="superscript"/>
          <w:lang w:val="en-US" w:eastAsia="zh-CN"/>
        </w:rPr>
        <w:t>y</w:t>
      </w:r>
      <w:r>
        <w:rPr>
          <w:rFonts w:hint="eastAsia" w:ascii="仿宋" w:hAnsi="仿宋" w:eastAsia="仿宋" w:cs="仿宋"/>
          <w:sz w:val="32"/>
          <w:szCs w:val="32"/>
          <w:lang w:val="en-US" w:eastAsia="zh-CN"/>
        </w:rPr>
        <w:t>）、直罗组（J</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vertAlign w:val="superscript"/>
          <w:lang w:val="en-US" w:eastAsia="zh-CN"/>
        </w:rPr>
        <w:t>z</w:t>
      </w:r>
      <w:r>
        <w:rPr>
          <w:rFonts w:hint="eastAsia" w:ascii="仿宋" w:hAnsi="仿宋" w:eastAsia="仿宋" w:cs="仿宋"/>
          <w:sz w:val="32"/>
          <w:szCs w:val="32"/>
          <w:lang w:val="en-US" w:eastAsia="zh-CN"/>
        </w:rPr>
        <w:t>）、安定组（J</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vertAlign w:val="superscript"/>
          <w:lang w:val="en-US" w:eastAsia="zh-CN"/>
        </w:rPr>
        <w:t>a</w:t>
      </w:r>
      <w:r>
        <w:rPr>
          <w:rFonts w:hint="eastAsia" w:ascii="仿宋" w:hAnsi="仿宋" w:eastAsia="仿宋" w:cs="仿宋"/>
          <w:sz w:val="32"/>
          <w:szCs w:val="32"/>
          <w:lang w:val="en-US" w:eastAsia="zh-CN"/>
        </w:rPr>
        <w:t>）、白垩系下统洛河组（K</w:t>
      </w:r>
      <w:r>
        <w:rPr>
          <w:rFonts w:hint="eastAsia" w:ascii="仿宋" w:hAnsi="仿宋" w:eastAsia="仿宋" w:cs="仿宋"/>
          <w:sz w:val="32"/>
          <w:szCs w:val="32"/>
          <w:vertAlign w:val="subscript"/>
          <w:lang w:val="en-US" w:eastAsia="zh-CN"/>
        </w:rPr>
        <w:t>1</w:t>
      </w:r>
      <w:r>
        <w:rPr>
          <w:rFonts w:hint="eastAsia" w:ascii="仿宋" w:hAnsi="仿宋" w:eastAsia="仿宋" w:cs="仿宋"/>
          <w:sz w:val="32"/>
          <w:szCs w:val="32"/>
          <w:vertAlign w:val="superscript"/>
          <w:lang w:val="en-US" w:eastAsia="zh-CN"/>
        </w:rPr>
        <w:t>l</w:t>
      </w:r>
      <w:r>
        <w:rPr>
          <w:rFonts w:hint="eastAsia" w:ascii="仿宋" w:hAnsi="仿宋" w:eastAsia="仿宋" w:cs="仿宋"/>
          <w:sz w:val="32"/>
          <w:szCs w:val="32"/>
          <w:lang w:val="en-US" w:eastAsia="zh-CN"/>
        </w:rPr>
        <w:t>）、统环河—华池组（K</w:t>
      </w:r>
      <w:r>
        <w:rPr>
          <w:rFonts w:hint="eastAsia" w:ascii="仿宋" w:hAnsi="仿宋" w:eastAsia="仿宋" w:cs="仿宋"/>
          <w:sz w:val="32"/>
          <w:szCs w:val="32"/>
          <w:vertAlign w:val="subscript"/>
          <w:lang w:val="en-US" w:eastAsia="zh-CN"/>
        </w:rPr>
        <w:t>1</w:t>
      </w:r>
      <w:r>
        <w:rPr>
          <w:rFonts w:hint="eastAsia" w:ascii="仿宋" w:hAnsi="仿宋" w:eastAsia="仿宋" w:cs="仿宋"/>
          <w:sz w:val="32"/>
          <w:szCs w:val="32"/>
          <w:vertAlign w:val="superscript"/>
          <w:lang w:val="en-US" w:eastAsia="zh-CN"/>
        </w:rPr>
        <w:t>h+hc</w:t>
      </w:r>
      <w:r>
        <w:rPr>
          <w:rFonts w:hint="eastAsia" w:ascii="仿宋" w:hAnsi="仿宋" w:eastAsia="仿宋" w:cs="仿宋"/>
          <w:sz w:val="32"/>
          <w:szCs w:val="32"/>
          <w:lang w:val="en-US" w:eastAsia="zh-CN"/>
        </w:rPr>
        <w:t>）、新近系上新统静乐组（N</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vertAlign w:val="superscript"/>
          <w:lang w:val="en-US" w:eastAsia="zh-CN"/>
        </w:rPr>
        <w:t>J</w:t>
      </w:r>
      <w:r>
        <w:rPr>
          <w:rFonts w:hint="eastAsia" w:ascii="仿宋" w:hAnsi="仿宋" w:eastAsia="仿宋" w:cs="仿宋"/>
          <w:sz w:val="32"/>
          <w:szCs w:val="32"/>
          <w:lang w:val="en-US" w:eastAsia="zh-CN"/>
        </w:rPr>
        <w:t>）、第四系下更新统三门组（Q</w:t>
      </w:r>
      <w:r>
        <w:rPr>
          <w:rFonts w:hint="eastAsia" w:ascii="仿宋" w:hAnsi="仿宋" w:eastAsia="仿宋" w:cs="仿宋"/>
          <w:sz w:val="32"/>
          <w:szCs w:val="32"/>
          <w:vertAlign w:val="subscript"/>
          <w:lang w:val="en-US" w:eastAsia="zh-CN"/>
        </w:rPr>
        <w:t>1</w:t>
      </w:r>
      <w:r>
        <w:rPr>
          <w:rFonts w:hint="eastAsia" w:ascii="仿宋" w:hAnsi="仿宋" w:eastAsia="仿宋" w:cs="仿宋"/>
          <w:sz w:val="32"/>
          <w:szCs w:val="32"/>
          <w:vertAlign w:val="superscript"/>
          <w:lang w:val="en-US" w:eastAsia="zh-CN"/>
        </w:rPr>
        <w:t>s</w:t>
      </w:r>
      <w:r>
        <w:rPr>
          <w:rFonts w:hint="eastAsia" w:ascii="仿宋" w:hAnsi="仿宋" w:eastAsia="仿宋" w:cs="仿宋"/>
          <w:sz w:val="32"/>
          <w:szCs w:val="32"/>
          <w:lang w:val="en-US" w:eastAsia="zh-CN"/>
        </w:rPr>
        <w:t>）、中更新统离石组（Q</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vertAlign w:val="superscript"/>
          <w:lang w:val="en-US" w:eastAsia="zh-CN"/>
        </w:rPr>
        <w:t>l</w:t>
      </w:r>
      <w:r>
        <w:rPr>
          <w:rFonts w:hint="eastAsia" w:ascii="仿宋" w:hAnsi="仿宋" w:eastAsia="仿宋" w:cs="仿宋"/>
          <w:sz w:val="32"/>
          <w:szCs w:val="32"/>
          <w:lang w:val="en-US" w:eastAsia="zh-CN"/>
        </w:rPr>
        <w:t>）、上更新统萨拉乌苏组（Q</w:t>
      </w:r>
      <w:r>
        <w:rPr>
          <w:rFonts w:hint="eastAsia" w:ascii="仿宋" w:hAnsi="仿宋" w:eastAsia="仿宋" w:cs="仿宋"/>
          <w:sz w:val="32"/>
          <w:szCs w:val="32"/>
          <w:vertAlign w:val="subscript"/>
          <w:lang w:val="en-US" w:eastAsia="zh-CN"/>
        </w:rPr>
        <w:t>3</w:t>
      </w:r>
      <w:r>
        <w:rPr>
          <w:rFonts w:hint="eastAsia" w:ascii="仿宋" w:hAnsi="仿宋" w:eastAsia="仿宋" w:cs="仿宋"/>
          <w:sz w:val="32"/>
          <w:szCs w:val="32"/>
          <w:vertAlign w:val="superscript"/>
          <w:lang w:val="en-US" w:eastAsia="zh-CN"/>
        </w:rPr>
        <w:t>S</w:t>
      </w:r>
      <w:r>
        <w:rPr>
          <w:rFonts w:hint="eastAsia" w:ascii="仿宋" w:hAnsi="仿宋" w:eastAsia="仿宋" w:cs="仿宋"/>
          <w:sz w:val="32"/>
          <w:szCs w:val="32"/>
          <w:lang w:val="en-US" w:eastAsia="zh-CN"/>
        </w:rPr>
        <w:t>）、上更新统马兰组（Q</w:t>
      </w:r>
      <w:r>
        <w:rPr>
          <w:rFonts w:hint="eastAsia" w:ascii="仿宋" w:hAnsi="仿宋" w:eastAsia="仿宋" w:cs="仿宋"/>
          <w:sz w:val="32"/>
          <w:szCs w:val="32"/>
          <w:vertAlign w:val="subscript"/>
          <w:lang w:val="en-US" w:eastAsia="zh-CN"/>
        </w:rPr>
        <w:t>3</w:t>
      </w:r>
      <w:r>
        <w:rPr>
          <w:rFonts w:hint="eastAsia" w:ascii="仿宋" w:hAnsi="仿宋" w:eastAsia="仿宋" w:cs="仿宋"/>
          <w:sz w:val="32"/>
          <w:szCs w:val="32"/>
          <w:vertAlign w:val="superscript"/>
          <w:lang w:val="en-US" w:eastAsia="zh-CN"/>
        </w:rPr>
        <w:t>m</w:t>
      </w:r>
      <w:r>
        <w:rPr>
          <w:rFonts w:hint="eastAsia" w:ascii="仿宋" w:hAnsi="仿宋" w:eastAsia="仿宋" w:cs="仿宋"/>
          <w:sz w:val="32"/>
          <w:szCs w:val="32"/>
          <w:lang w:val="en-US" w:eastAsia="zh-CN"/>
        </w:rPr>
        <w:t>）、全新统风积沙（Q</w:t>
      </w:r>
      <w:r>
        <w:rPr>
          <w:rFonts w:hint="eastAsia" w:ascii="仿宋" w:hAnsi="仿宋" w:eastAsia="仿宋" w:cs="仿宋"/>
          <w:sz w:val="32"/>
          <w:szCs w:val="32"/>
          <w:vertAlign w:val="subscript"/>
          <w:lang w:val="en-US" w:eastAsia="zh-CN"/>
        </w:rPr>
        <w:t>4</w:t>
      </w:r>
      <w:r>
        <w:rPr>
          <w:rFonts w:hint="eastAsia" w:ascii="仿宋" w:hAnsi="仿宋" w:eastAsia="仿宋" w:cs="仿宋"/>
          <w:sz w:val="32"/>
          <w:szCs w:val="32"/>
          <w:vertAlign w:val="superscript"/>
          <w:lang w:val="en-US" w:eastAsia="zh-CN"/>
        </w:rPr>
        <w:t>eol</w:t>
      </w:r>
      <w:r>
        <w:rPr>
          <w:rFonts w:hint="eastAsia" w:ascii="仿宋" w:hAnsi="仿宋" w:eastAsia="仿宋" w:cs="仿宋"/>
          <w:sz w:val="32"/>
          <w:szCs w:val="32"/>
          <w:lang w:val="en-US" w:eastAsia="zh-CN"/>
        </w:rPr>
        <w:t>）和冲积层（Q</w:t>
      </w:r>
      <w:r>
        <w:rPr>
          <w:rFonts w:hint="eastAsia" w:ascii="仿宋" w:hAnsi="仿宋" w:eastAsia="仿宋" w:cs="仿宋"/>
          <w:sz w:val="32"/>
          <w:szCs w:val="32"/>
          <w:vertAlign w:val="subscript"/>
          <w:lang w:val="en-US" w:eastAsia="zh-CN"/>
        </w:rPr>
        <w:t>4</w:t>
      </w:r>
      <w:r>
        <w:rPr>
          <w:rFonts w:hint="eastAsia" w:ascii="仿宋" w:hAnsi="仿宋" w:eastAsia="仿宋" w:cs="仿宋"/>
          <w:sz w:val="32"/>
          <w:szCs w:val="32"/>
          <w:vertAlign w:val="superscript"/>
          <w:lang w:val="en-US" w:eastAsia="zh-CN"/>
        </w:rPr>
        <w:t>al</w:t>
      </w:r>
      <w:r>
        <w:rPr>
          <w:rFonts w:hint="eastAsia" w:ascii="仿宋" w:hAnsi="仿宋" w:eastAsia="仿宋" w:cs="仿宋"/>
          <w:sz w:val="32"/>
          <w:szCs w:val="32"/>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（八）构造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1" w:name="_Toc22568"/>
      <w:r>
        <w:rPr>
          <w:rFonts w:hint="eastAsia" w:ascii="仿宋" w:hAnsi="仿宋" w:eastAsia="仿宋" w:cs="仿宋"/>
          <w:sz w:val="32"/>
          <w:szCs w:val="32"/>
          <w:lang w:val="en-US" w:eastAsia="zh-CN"/>
        </w:rPr>
        <w:t>井田区域未发现岩浆活动，属构造简单类型。井田位于鄂尔多斯盆地陕北斜坡带与伊盟隆起区过渡地带，榆神矿区的东北部，在白垩世以前，陕北斜坡带与伊盟隆起区同属于鄂尔多斯克拉通盆地板块，具备较为一致的沉积构造环境，在白垩世早期，受燕山运动影响，鄂尔多斯盆地北缘逐渐提升，在现今伊金霍洛旗-乌海一带发育了一系列的断陷构造，核实区位于该断陷构造带南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井田地表未发现明显的构造，依据钻孔揭露资料，构造总体来看为一地层向西北缓倾的单斜构造，从各煤层底板等高线判断，地层倾角为1°，倾向约为320°，各煤层底板起伏形态较为一致，均呈较为宽缓的波状起伏，总体坡降比为15/1000，总体构造较为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17-16孔和公格沟地表发现的断层为同一断层（DF3断层），且延伸至ZJ1-1钻孔消失，向西北延伸至北部活鸡兔沟边界，延伸距离大于13km，在东南边界X2-6孔附近，断点倾向北，倾角70°，落差7m；该断层在H17-34孔与H17-28孔之间落差最大，两孔相距 150m，底板最大高差为42m，H17-36孔2</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煤断失，断层在北东向落差变小，因此该断层自东南向西北断距有逐渐变大的趋势，属控制程度可靠正断层。</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井田内地层沿走向、倾向的产状变化不大，没有大的断裂及明显的褶皱构造，没有岩浆活动，但小断层较为发育，构造类型属简单类型。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资源压覆情况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包西铁路、</w:t>
      </w:r>
      <w:r>
        <w:rPr>
          <w:rFonts w:hint="eastAsia" w:ascii="仿宋" w:hAnsi="仿宋" w:eastAsia="仿宋" w:cs="仿宋"/>
          <w:sz w:val="32"/>
          <w:szCs w:val="32"/>
          <w:lang w:val="en-US" w:eastAsia="zh-CN"/>
        </w:rPr>
        <w:t>301省道（府深线）从井田西南部穿过，压覆资源量不详。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二、竞拍程序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（一）申请报名的时间：2023年2月6日—2023年3月6日16时止（包括审核和缴竞买保证金时间）;挂牌竞价起止时间：2023年03月07日至2023年03月21日9时止，网上挂牌出让保证金缴纳截止时间为2023年03月6日16时止。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（二）提交申请资料通过资格审查后，从交易网上获得账号，缴纳3.7亿元竞买保证金（2023年3月6日16时止）；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（三）竞拍起始价为37.6098亿元，每次增价幅度为3000万元的倍数；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挂牌出让活动结束后，竞得人缴纳的竞买保证金，按照《探矿权出让合同》约定，缴纳矿业权出让收益后，携带缴纳票据复印件，到陕西省公共资源交易中心501室办理保证金退还手续（不计利息）。未竟得的竞买人所缴纳的保证金，在该项目成交公示发布后5个工作日内按原缴纳路径退还（不计利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（五）合同签订及出让收益缴纳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出让成交后，竞得人须于2023年4月28日前，与出让人签订探矿权出让合同，并根据合同约定缴纳探矿权出让收益的方式。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（六）勘查许可证办理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竞得人根据合同约定在缴纳探矿权出让收益后，持缴款凭据到陕西省自然资源厅按有关规定和要求办理探矿权登记手续，领取勘查许可证。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0" w:leftChars="0" w:right="0" w:righ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三、公司参与竞买的必要性分析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集团公司后续资源储备严重不足，获取资源储备是公司目前亟待解决的突出问题，也是公司能否保持可持续发展的最根本的决定性因素。该井田位于榆神矿区核心位置，资源储量规模适中，一旦竞拍成功，可以极大地缓减公司资源接续紧张的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司现有生产矿井三处，自产煤产能860万吨/年[其中，武家塔煤矿400万吨/年，霍洛湾煤矿360万吨/年，大海则煤矿100万吨/年（正处于下水平延深基建期）]，自有产能规模较小的问题从根本上制约了公司的发展，该井田挂牌资源近两亿吨，根据历来勘探经验判断，该井田完成勘探后，资源量还会有一定的增加。该井田具备建设300万吨/年规模特大型矿井的资源条件，可以极大的增加公司自由产能规模，为公司创造极大的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该井田由省厅直接委托挂牌，同时规定了办理探矿权登记手续的时间表，办理矿业权登记手续时间缩短、程序简单。如果进展顺利，今年年底即可完成项目勘探和储量备案，明年可办理探转采和项目开工的前期手续，而且该井田建井条件简单，预计在四到五年内建成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（四）牛定壕井田属于榆神矿区核心区所剩无几的成规模整装井田，而且矿区总体规划为单独建井项目井田，稀缺性绝无仅有，经济价值极高，开采运输条件便捷，建成后收益极大，值得公司重点关注。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（五）收储资源后可带动集团公司产品及施工企业发展。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0" w:leftChars="0" w:right="0" w:righ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四、项目风险性因素</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煤炭销售价格和生产能力波动是影响该项目盈利的最直接因素，而这两大因素直接受到国家煤炭行业宏观政策调整的影响较大，所以下一步国家在能源领域政策走向和煤炭价格政策怎么调整是不确定因素之一。</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（二）在项目财务经济分析中该项目建设期按照4年测算，如果在前期手续办理、建井工期等方面时间延长，也可能需7—8年，会造成一定的利息负担。</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五、竞价原则</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（一）项目总投资收益率不小于10%。</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（二）财务内部收益率不小于8%</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（三）所得后投资收益率不小于6%。</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（四）项目投资回收期（既贷款偿还期）不超过15年。</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（五）财务净现值大于零。</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（六）一水平回采完毕时全井田矿业权收益金全部缴清。</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（七）在敏感因素20%幅度变化时，满足如下条件：净现值大于零、所得后投资收益率大于同期存款基准利率、财务内部收益率不低于5%。</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上述指标在测算过程中，煤炭售价以当前中长协合同价为依据，成本测算参照霍洛湾煤矿生产成本，基建投资测算参照大海则煤矿二水平延深项目投资。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bidi="ar-SA"/>
        </w:rPr>
        <w:t>根据神东煤炭集团提出的委托第三方专业设计评审机构进行该项目财务经济测算的建议，经集团公司第一届董事会第四十次会议审议通过，委托北京华宇设计研究院西安分公司编制项目经济可行性评估报告。提请股东大会授权公司董事会组织董、监、高及三大法人股东代表组成竞价领导小组，按照竞价原则，</w:t>
      </w:r>
      <w:r>
        <w:rPr>
          <w:rFonts w:hint="eastAsia" w:ascii="仿宋" w:hAnsi="仿宋" w:eastAsia="仿宋" w:cs="仿宋"/>
          <w:color w:val="auto"/>
          <w:kern w:val="2"/>
          <w:sz w:val="32"/>
          <w:szCs w:val="32"/>
          <w:lang w:val="en-US" w:eastAsia="zh-CN" w:bidi="ar-SA"/>
        </w:rPr>
        <w:t>在董事会审议的区间价基础上，参照北京华宇设计研究院西安分公司编制的项目经济可行性评估报告确定报价上限，参与本次竞拍工作。</w:t>
      </w:r>
      <w:bookmarkStart w:id="2" w:name="_GoBack"/>
      <w:bookmarkEnd w:id="2"/>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请予审议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C48C8"/>
    <w:multiLevelType w:val="singleLevel"/>
    <w:tmpl w:val="E85C48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gwMDQ1NGE4NzExMDY1MDViNmVkNjMxNTMzZjAifQ=="/>
  </w:docVars>
  <w:rsids>
    <w:rsidRoot w:val="1DBC0C6C"/>
    <w:rsid w:val="00BF0E19"/>
    <w:rsid w:val="013E61E2"/>
    <w:rsid w:val="018F0218"/>
    <w:rsid w:val="01B26A26"/>
    <w:rsid w:val="036F2FCB"/>
    <w:rsid w:val="03C51F78"/>
    <w:rsid w:val="050140F6"/>
    <w:rsid w:val="0506170D"/>
    <w:rsid w:val="05A954E0"/>
    <w:rsid w:val="08473E16"/>
    <w:rsid w:val="08C72F61"/>
    <w:rsid w:val="095E4AC4"/>
    <w:rsid w:val="09F4422A"/>
    <w:rsid w:val="0BF048D1"/>
    <w:rsid w:val="0C483AFC"/>
    <w:rsid w:val="0C7746AE"/>
    <w:rsid w:val="0CEE1968"/>
    <w:rsid w:val="0D906017"/>
    <w:rsid w:val="0DA4673F"/>
    <w:rsid w:val="0DE353C2"/>
    <w:rsid w:val="0E4D212E"/>
    <w:rsid w:val="0E9C279A"/>
    <w:rsid w:val="10352EA6"/>
    <w:rsid w:val="10384374"/>
    <w:rsid w:val="10563548"/>
    <w:rsid w:val="11953E1B"/>
    <w:rsid w:val="11B54D73"/>
    <w:rsid w:val="11E312B7"/>
    <w:rsid w:val="11F57D00"/>
    <w:rsid w:val="13581385"/>
    <w:rsid w:val="13D379E9"/>
    <w:rsid w:val="13F465E4"/>
    <w:rsid w:val="14265C63"/>
    <w:rsid w:val="15A80E92"/>
    <w:rsid w:val="16C62AAA"/>
    <w:rsid w:val="17294D2C"/>
    <w:rsid w:val="17330513"/>
    <w:rsid w:val="1789183C"/>
    <w:rsid w:val="18426DF8"/>
    <w:rsid w:val="193675F7"/>
    <w:rsid w:val="19B337B9"/>
    <w:rsid w:val="1BAD2894"/>
    <w:rsid w:val="1C937BB0"/>
    <w:rsid w:val="1CF742D8"/>
    <w:rsid w:val="1DA636E4"/>
    <w:rsid w:val="1DBC0C6C"/>
    <w:rsid w:val="1ED24F9B"/>
    <w:rsid w:val="20121115"/>
    <w:rsid w:val="21A75806"/>
    <w:rsid w:val="24763D61"/>
    <w:rsid w:val="25897AC4"/>
    <w:rsid w:val="25FF5100"/>
    <w:rsid w:val="261C618A"/>
    <w:rsid w:val="27223E10"/>
    <w:rsid w:val="27657C15"/>
    <w:rsid w:val="27F55DEE"/>
    <w:rsid w:val="28AD6298"/>
    <w:rsid w:val="290576F4"/>
    <w:rsid w:val="29C404ED"/>
    <w:rsid w:val="29CA7A14"/>
    <w:rsid w:val="29E734C3"/>
    <w:rsid w:val="2ABB3CD4"/>
    <w:rsid w:val="2AD510B6"/>
    <w:rsid w:val="2BC77770"/>
    <w:rsid w:val="2BE23BE0"/>
    <w:rsid w:val="2D370844"/>
    <w:rsid w:val="2DAD1E76"/>
    <w:rsid w:val="2E813A2E"/>
    <w:rsid w:val="2EE10029"/>
    <w:rsid w:val="2FAA7291"/>
    <w:rsid w:val="3005243D"/>
    <w:rsid w:val="305409A0"/>
    <w:rsid w:val="31297796"/>
    <w:rsid w:val="31F103B6"/>
    <w:rsid w:val="327233F9"/>
    <w:rsid w:val="328D18D2"/>
    <w:rsid w:val="33F24A86"/>
    <w:rsid w:val="35744E8E"/>
    <w:rsid w:val="35C662AD"/>
    <w:rsid w:val="36583C36"/>
    <w:rsid w:val="366538CF"/>
    <w:rsid w:val="377F4C58"/>
    <w:rsid w:val="378369D9"/>
    <w:rsid w:val="3A0F08F2"/>
    <w:rsid w:val="3A283CA4"/>
    <w:rsid w:val="3A7252D2"/>
    <w:rsid w:val="3BCB453B"/>
    <w:rsid w:val="3BE7307D"/>
    <w:rsid w:val="3C0637C5"/>
    <w:rsid w:val="3C2C4218"/>
    <w:rsid w:val="3DC47F4A"/>
    <w:rsid w:val="3E361EA9"/>
    <w:rsid w:val="3E5E1823"/>
    <w:rsid w:val="3FE16591"/>
    <w:rsid w:val="42654A44"/>
    <w:rsid w:val="42BA59D6"/>
    <w:rsid w:val="42C01089"/>
    <w:rsid w:val="42C50459"/>
    <w:rsid w:val="433F798C"/>
    <w:rsid w:val="43A90552"/>
    <w:rsid w:val="454361B2"/>
    <w:rsid w:val="45C96CBE"/>
    <w:rsid w:val="465C406C"/>
    <w:rsid w:val="47081E2D"/>
    <w:rsid w:val="471E5E67"/>
    <w:rsid w:val="4779309D"/>
    <w:rsid w:val="47D27393"/>
    <w:rsid w:val="48C3738F"/>
    <w:rsid w:val="48E63E09"/>
    <w:rsid w:val="49260698"/>
    <w:rsid w:val="492B6A5C"/>
    <w:rsid w:val="49E84B0A"/>
    <w:rsid w:val="4AAC19DB"/>
    <w:rsid w:val="4B1F5D09"/>
    <w:rsid w:val="4C3E6B18"/>
    <w:rsid w:val="4C554742"/>
    <w:rsid w:val="4C91216A"/>
    <w:rsid w:val="4D4203D5"/>
    <w:rsid w:val="4D814A59"/>
    <w:rsid w:val="4F0973FC"/>
    <w:rsid w:val="4F6B3671"/>
    <w:rsid w:val="4F890EC7"/>
    <w:rsid w:val="4FDA0A24"/>
    <w:rsid w:val="509C4808"/>
    <w:rsid w:val="50BE01B1"/>
    <w:rsid w:val="51AF590D"/>
    <w:rsid w:val="52291B63"/>
    <w:rsid w:val="525C0A61"/>
    <w:rsid w:val="52B50177"/>
    <w:rsid w:val="53373D24"/>
    <w:rsid w:val="53524EFF"/>
    <w:rsid w:val="56075D18"/>
    <w:rsid w:val="56513F1D"/>
    <w:rsid w:val="57811AFA"/>
    <w:rsid w:val="58D2085F"/>
    <w:rsid w:val="594970F5"/>
    <w:rsid w:val="5A130371"/>
    <w:rsid w:val="5CF33DAB"/>
    <w:rsid w:val="5D215911"/>
    <w:rsid w:val="5D775E79"/>
    <w:rsid w:val="5DB218BA"/>
    <w:rsid w:val="5E2F5F98"/>
    <w:rsid w:val="5E6A778C"/>
    <w:rsid w:val="5E935043"/>
    <w:rsid w:val="5F7F7267"/>
    <w:rsid w:val="60031C46"/>
    <w:rsid w:val="60BB23FA"/>
    <w:rsid w:val="612C4B73"/>
    <w:rsid w:val="617D1584"/>
    <w:rsid w:val="63335ED3"/>
    <w:rsid w:val="643A101F"/>
    <w:rsid w:val="64552344"/>
    <w:rsid w:val="64D92F75"/>
    <w:rsid w:val="658524F2"/>
    <w:rsid w:val="65AB2B63"/>
    <w:rsid w:val="65CE1BAE"/>
    <w:rsid w:val="66190E48"/>
    <w:rsid w:val="67917B37"/>
    <w:rsid w:val="67A05FCC"/>
    <w:rsid w:val="680E1188"/>
    <w:rsid w:val="68460921"/>
    <w:rsid w:val="69817647"/>
    <w:rsid w:val="6B7834E8"/>
    <w:rsid w:val="6DA73C10"/>
    <w:rsid w:val="6E983C46"/>
    <w:rsid w:val="6F011A46"/>
    <w:rsid w:val="6FD02373"/>
    <w:rsid w:val="73F5045F"/>
    <w:rsid w:val="745F619B"/>
    <w:rsid w:val="75067A74"/>
    <w:rsid w:val="760E658B"/>
    <w:rsid w:val="77537FD6"/>
    <w:rsid w:val="78104AA8"/>
    <w:rsid w:val="7845346A"/>
    <w:rsid w:val="785561D3"/>
    <w:rsid w:val="785965C4"/>
    <w:rsid w:val="78947487"/>
    <w:rsid w:val="78F65A4C"/>
    <w:rsid w:val="792C3868"/>
    <w:rsid w:val="793C3291"/>
    <w:rsid w:val="79423761"/>
    <w:rsid w:val="7A295061"/>
    <w:rsid w:val="7A3D35F6"/>
    <w:rsid w:val="7A574C10"/>
    <w:rsid w:val="7AB94F83"/>
    <w:rsid w:val="7B600A4D"/>
    <w:rsid w:val="7BE36763"/>
    <w:rsid w:val="7C013085"/>
    <w:rsid w:val="7C1D1542"/>
    <w:rsid w:val="7D28515B"/>
    <w:rsid w:val="7DFB55EC"/>
    <w:rsid w:val="7E171E3C"/>
    <w:rsid w:val="7E2225ED"/>
    <w:rsid w:val="7E2348F2"/>
    <w:rsid w:val="7E307599"/>
    <w:rsid w:val="7E834226"/>
    <w:rsid w:val="7FE7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幼圆" w:eastAsia="幼圆"/>
      <w:sz w:val="28"/>
      <w:szCs w:val="28"/>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5488</Words>
  <Characters>7295</Characters>
  <Lines>0</Lines>
  <Paragraphs>0</Paragraphs>
  <TotalTime>22</TotalTime>
  <ScaleCrop>false</ScaleCrop>
  <LinksUpToDate>false</LinksUpToDate>
  <CharactersWithSpaces>7307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2023-02-10T12:18:00Z</dcterms:created>
  <dc:creator>石峥嵘</dc:creator>
  <cp:lastModifiedBy>石峥嵘</cp:lastModifiedBy>
  <cp:lastPrinted>2023-02-14T10:42:00Z</cp:lastPrinted>
  <dcterms:modified xsi:type="dcterms:W3CDTF">2023-02-14T14:00:25Z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2F086D80C6D044D6BA47CA1724CF191A</vt:lpwstr>
  </property>
</Properties>
</file>