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leftChars="0" w:hanging="421" w:hangingChars="131"/>
        <w:jc w:val="right"/>
        <w:rPr>
          <w:rFonts w:hint="default" w:ascii="宋体" w:hAnsi="宋体"/>
          <w:b/>
          <w:bCs w:val="0"/>
          <w:sz w:val="72"/>
          <w:szCs w:val="72"/>
          <w:lang w:val="en-US" w:eastAsia="zh-CN"/>
        </w:rPr>
      </w:pPr>
      <w:r>
        <w:rPr>
          <w:rFonts w:hint="eastAsia" w:ascii="黑体" w:hAnsi="黑体" w:eastAsia="黑体" w:cs="黑体"/>
          <w:b/>
          <w:bCs w:val="0"/>
          <w:sz w:val="32"/>
          <w:szCs w:val="32"/>
          <w:lang w:val="en-US" w:eastAsia="zh-CN"/>
        </w:rPr>
        <w:t>编号：</w:t>
      </w:r>
      <w:r>
        <w:rPr>
          <w:rFonts w:hint="eastAsia" w:ascii="黑体" w:hAnsi="黑体" w:eastAsia="黑体" w:cs="黑体"/>
          <w:b/>
          <w:bCs/>
          <w:color w:val="FF0000"/>
          <w:sz w:val="32"/>
          <w:szCs w:val="32"/>
          <w:lang w:val="en-US" w:eastAsia="zh-CN"/>
        </w:rPr>
        <w:t>KSJX-2023-ZX-001</w:t>
      </w:r>
    </w:p>
    <w:p>
      <w:pPr>
        <w:ind w:left="420"/>
        <w:jc w:val="center"/>
        <w:rPr>
          <w:rFonts w:hint="eastAsia" w:ascii="宋体" w:hAnsi="宋体"/>
          <w:b/>
          <w:bCs w:val="0"/>
          <w:sz w:val="72"/>
          <w:szCs w:val="72"/>
          <w:lang w:eastAsia="zh-CN"/>
        </w:rPr>
      </w:pPr>
    </w:p>
    <w:p>
      <w:pPr>
        <w:ind w:left="420"/>
        <w:jc w:val="center"/>
        <w:rPr>
          <w:rFonts w:hint="eastAsia" w:ascii="宋体" w:hAnsi="宋体"/>
          <w:b/>
          <w:bCs w:val="0"/>
          <w:sz w:val="44"/>
          <w:szCs w:val="44"/>
          <w:lang w:eastAsia="zh-CN"/>
        </w:rPr>
      </w:pPr>
      <w:bookmarkStart w:id="0" w:name="_GoBack"/>
      <w:bookmarkEnd w:id="0"/>
    </w:p>
    <w:p>
      <w:pPr>
        <w:ind w:left="420"/>
        <w:jc w:val="center"/>
        <w:rPr>
          <w:rFonts w:hint="eastAsia" w:ascii="宋体" w:hAnsi="宋体"/>
          <w:b/>
          <w:bCs w:val="0"/>
          <w:sz w:val="44"/>
          <w:szCs w:val="44"/>
          <w:lang w:eastAsia="zh-CN"/>
        </w:rPr>
      </w:pPr>
    </w:p>
    <w:p>
      <w:pPr>
        <w:jc w:val="center"/>
        <w:rPr>
          <w:rFonts w:hint="eastAsia" w:ascii="宋体" w:hAnsi="宋体" w:eastAsia="宋体" w:cs="宋体"/>
          <w:b/>
          <w:bCs w:val="0"/>
          <w:color w:val="000000" w:themeColor="text1"/>
          <w:sz w:val="44"/>
          <w:szCs w:val="44"/>
          <w:lang w:eastAsia="zh-CN"/>
          <w14:textFill>
            <w14:solidFill>
              <w14:schemeClr w14:val="tx1"/>
            </w14:solidFill>
          </w14:textFill>
        </w:rPr>
      </w:pPr>
      <w:r>
        <w:rPr>
          <w:rFonts w:hint="eastAsia" w:ascii="宋体" w:hAnsi="宋体" w:cs="宋体"/>
          <w:b/>
          <w:bCs w:val="0"/>
          <w:color w:val="000000" w:themeColor="text1"/>
          <w:sz w:val="44"/>
          <w:szCs w:val="44"/>
          <w:lang w:val="en-US" w:eastAsia="zh-CN"/>
          <w14:textFill>
            <w14:solidFill>
              <w14:schemeClr w14:val="tx1"/>
            </w14:solidFill>
          </w14:textFill>
        </w:rPr>
        <w:t>鄂尔多斯市神东天隆矿山机械有限责任公司</w:t>
      </w:r>
    </w:p>
    <w:p>
      <w:pPr>
        <w:jc w:val="center"/>
        <w:rPr>
          <w:rFonts w:hint="eastAsia" w:ascii="宋体" w:hAnsi="宋体" w:eastAsia="宋体" w:cs="宋体"/>
          <w:b/>
          <w:bCs/>
          <w:w w:val="80"/>
          <w:sz w:val="44"/>
          <w:szCs w:val="44"/>
          <w:lang w:val="en-US" w:eastAsia="zh-CN"/>
        </w:rPr>
      </w:pPr>
      <w:r>
        <w:rPr>
          <w:rFonts w:hint="eastAsia" w:ascii="宋体" w:hAnsi="宋体" w:eastAsia="宋体" w:cs="宋体"/>
          <w:b/>
          <w:bCs/>
          <w:w w:val="80"/>
          <w:sz w:val="44"/>
          <w:szCs w:val="44"/>
          <w:lang w:val="en-US" w:eastAsia="zh-CN"/>
        </w:rPr>
        <w:t>关于购置数控车床/CKA6180/4000设备</w:t>
      </w:r>
    </w:p>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bCs w:val="0"/>
          <w:sz w:val="96"/>
          <w:szCs w:val="96"/>
          <w:lang w:val="en-US" w:eastAsia="zh-CN"/>
        </w:rPr>
      </w:pPr>
      <w:r>
        <w:rPr>
          <w:rFonts w:hint="eastAsia" w:ascii="宋体" w:hAnsi="宋体" w:eastAsia="宋体" w:cs="宋体"/>
          <w:b/>
          <w:bCs w:val="0"/>
          <w:sz w:val="84"/>
          <w:szCs w:val="84"/>
          <w:lang w:eastAsia="zh-CN"/>
        </w:rPr>
        <w:t>技</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eastAsia="zh-CN"/>
        </w:rPr>
        <w:t>术</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要</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求</w:t>
      </w:r>
    </w:p>
    <w:p>
      <w:pPr>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lang w:eastAsia="zh-CN"/>
        </w:rPr>
      </w:pPr>
    </w:p>
    <w:p>
      <w:pPr>
        <w:ind w:firstLine="321" w:firstLineChars="1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使用方：</w:t>
      </w:r>
      <w:r>
        <w:rPr>
          <w:rFonts w:hint="eastAsia" w:asciiTheme="minorEastAsia" w:hAnsiTheme="minorEastAsia" w:eastAsiaTheme="minorEastAsia" w:cstheme="minorEastAsia"/>
          <w:sz w:val="32"/>
          <w:szCs w:val="32"/>
          <w:lang w:val="en-US" w:eastAsia="zh-CN"/>
        </w:rPr>
        <w:t>鄂尔多斯市神东天隆矿山机械有限责任公司</w:t>
      </w:r>
    </w:p>
    <w:p>
      <w:pPr>
        <w:jc w:val="center"/>
        <w:rPr>
          <w:rFonts w:hint="eastAsia"/>
          <w:sz w:val="32"/>
          <w:szCs w:val="32"/>
          <w:lang w:val="en-US" w:eastAsia="zh-CN"/>
        </w:rPr>
      </w:pPr>
      <w:r>
        <w:rPr>
          <w:rFonts w:hint="eastAsia" w:asciiTheme="minorEastAsia" w:hAnsiTheme="minorEastAsia" w:eastAsiaTheme="minorEastAsia" w:cstheme="minorEastAsia"/>
          <w:b/>
          <w:bCs/>
          <w:sz w:val="32"/>
          <w:szCs w:val="32"/>
          <w:lang w:val="en-US" w:eastAsia="zh-CN"/>
        </w:rPr>
        <w:t>审核方：</w:t>
      </w:r>
      <w:r>
        <w:rPr>
          <w:rFonts w:hint="eastAsia" w:asciiTheme="minorEastAsia" w:hAnsiTheme="minorEastAsia" w:eastAsiaTheme="minorEastAsia" w:cstheme="minorEastAsia"/>
          <w:sz w:val="32"/>
          <w:szCs w:val="32"/>
          <w:lang w:val="en-US" w:eastAsia="zh-CN"/>
        </w:rPr>
        <w:t>内蒙古神东天隆集团股份有限公司机电动力部</w:t>
      </w:r>
      <w:r>
        <w:rPr>
          <w:rFonts w:hint="eastAsia" w:asciiTheme="minorEastAsia" w:hAnsiTheme="minorEastAsia" w:eastAsiaTheme="minorEastAsia" w:cstheme="minorEastAsia"/>
          <w:color w:val="000000"/>
          <w:szCs w:val="21"/>
        </w:rPr>
        <w:t xml:space="preserve">     </w:t>
      </w:r>
      <w:r>
        <w:rPr>
          <w:rFonts w:hint="eastAsia"/>
          <w:sz w:val="30"/>
          <w:szCs w:val="30"/>
          <w:lang w:val="en-US" w:eastAsia="zh-CN"/>
        </w:rPr>
        <w:t xml:space="preserve">                                </w:t>
      </w:r>
      <w:r>
        <w:rPr>
          <w:rFonts w:hint="eastAsia"/>
          <w:sz w:val="32"/>
          <w:szCs w:val="32"/>
          <w:lang w:val="en-US" w:eastAsia="zh-CN"/>
        </w:rPr>
        <w:t xml:space="preserve"> </w:t>
      </w:r>
    </w:p>
    <w:p>
      <w:pPr>
        <w:tabs>
          <w:tab w:val="left" w:pos="1227"/>
        </w:tabs>
        <w:jc w:val="center"/>
        <w:rPr>
          <w:rFonts w:ascii="宋体" w:hAnsi="宋体"/>
          <w:b w:val="0"/>
          <w:bCs/>
          <w:sz w:val="32"/>
          <w:szCs w:val="21"/>
          <w:u w:val="none" w:color="auto"/>
        </w:rPr>
      </w:pPr>
      <w:r>
        <w:rPr>
          <w:rFonts w:ascii="宋体" w:hAnsi="宋体"/>
          <w:b w:val="0"/>
          <w:bCs/>
          <w:sz w:val="32"/>
          <w:szCs w:val="21"/>
          <w:u w:val="none" w:color="auto"/>
        </w:rPr>
        <w:t>20</w:t>
      </w:r>
      <w:r>
        <w:rPr>
          <w:rFonts w:hint="eastAsia" w:ascii="宋体" w:hAnsi="宋体"/>
          <w:b w:val="0"/>
          <w:bCs/>
          <w:sz w:val="32"/>
          <w:szCs w:val="21"/>
          <w:u w:val="none" w:color="auto"/>
          <w:lang w:val="en-US" w:eastAsia="zh-CN"/>
        </w:rPr>
        <w:t>23</w:t>
      </w:r>
      <w:r>
        <w:rPr>
          <w:rFonts w:ascii="宋体" w:hAnsi="宋体"/>
          <w:b w:val="0"/>
          <w:bCs/>
          <w:sz w:val="32"/>
          <w:szCs w:val="21"/>
          <w:u w:val="none" w:color="auto"/>
        </w:rPr>
        <w:t>年</w:t>
      </w:r>
      <w:r>
        <w:rPr>
          <w:rFonts w:hint="eastAsia" w:ascii="宋体" w:hAnsi="宋体"/>
          <w:b w:val="0"/>
          <w:bCs/>
          <w:sz w:val="32"/>
          <w:szCs w:val="21"/>
          <w:u w:val="none" w:color="auto"/>
          <w:lang w:val="en-US" w:eastAsia="zh-CN"/>
        </w:rPr>
        <w:t>2</w:t>
      </w:r>
      <w:r>
        <w:rPr>
          <w:rFonts w:ascii="宋体" w:hAnsi="宋体"/>
          <w:b w:val="0"/>
          <w:bCs/>
          <w:sz w:val="32"/>
          <w:szCs w:val="21"/>
          <w:u w:val="none" w:color="auto"/>
        </w:rPr>
        <w:t>月</w:t>
      </w:r>
      <w:r>
        <w:rPr>
          <w:rFonts w:hint="eastAsia" w:ascii="宋体" w:hAnsi="宋体"/>
          <w:b w:val="0"/>
          <w:bCs/>
          <w:sz w:val="32"/>
          <w:szCs w:val="21"/>
          <w:u w:val="none" w:color="auto"/>
          <w:lang w:val="en-US" w:eastAsia="zh-CN"/>
        </w:rPr>
        <w:t>28</w:t>
      </w:r>
      <w:r>
        <w:rPr>
          <w:rFonts w:ascii="宋体" w:hAnsi="宋体"/>
          <w:b w:val="0"/>
          <w:bCs/>
          <w:sz w:val="32"/>
          <w:szCs w:val="21"/>
          <w:u w:val="none" w:color="auto"/>
        </w:rPr>
        <w:t>日</w:t>
      </w:r>
    </w:p>
    <w:p>
      <w:pPr>
        <w:jc w:val="both"/>
        <w:rPr>
          <w:rFonts w:hint="eastAsia"/>
          <w:sz w:val="32"/>
          <w:szCs w:val="32"/>
          <w:lang w:val="en-US" w:eastAsia="zh-CN"/>
        </w:rPr>
      </w:pPr>
    </w:p>
    <w:p>
      <w:pPr>
        <w:jc w:val="center"/>
        <w:rPr>
          <w:rFonts w:hint="eastAsia" w:ascii="宋体" w:hAnsi="宋体" w:cs="宋体"/>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right"/>
        <w:rPr>
          <w:rFonts w:hint="default" w:eastAsia="黑体"/>
          <w:color w:val="auto"/>
          <w:sz w:val="32"/>
          <w:szCs w:val="32"/>
          <w:lang w:val="en-US" w:eastAsia="zh-CN"/>
        </w:rPr>
      </w:pPr>
      <w:r>
        <w:rPr>
          <w:rFonts w:hint="eastAsia" w:ascii="黑体" w:hAnsi="黑体" w:eastAsia="黑体" w:cs="黑体"/>
          <w:b/>
          <w:bCs/>
          <w:color w:val="auto"/>
          <w:sz w:val="32"/>
          <w:szCs w:val="32"/>
        </w:rPr>
        <w:t>编号：</w:t>
      </w:r>
      <w:r>
        <w:rPr>
          <w:rFonts w:hint="eastAsia" w:ascii="黑体" w:hAnsi="黑体" w:eastAsia="黑体" w:cs="黑体"/>
          <w:b/>
          <w:bCs/>
          <w:color w:val="auto"/>
          <w:sz w:val="32"/>
          <w:szCs w:val="32"/>
          <w:lang w:val="en-US" w:eastAsia="zh-CN"/>
        </w:rPr>
        <w:t>KSJX-2023-ZX-001</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技 术 要 求</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使用方：鄂尔多斯市神东天隆矿山机械有限责任公司</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审核方：内蒙古神东天隆集团股份有限公司机电动力部</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p>
    <w:p>
      <w:pPr>
        <w:pStyle w:val="12"/>
        <w:ind w:left="0" w:leftChars="0" w:firstLine="643"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一、基本信息：</w:t>
      </w:r>
    </w:p>
    <w:tbl>
      <w:tblPr>
        <w:tblStyle w:val="10"/>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287"/>
        <w:gridCol w:w="550"/>
        <w:gridCol w:w="550"/>
        <w:gridCol w:w="145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86" w:type="dxa"/>
            <w:vAlign w:val="center"/>
          </w:tcPr>
          <w:p>
            <w:pPr>
              <w:ind w:right="-63" w:rightChars="-30"/>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名称</w:t>
            </w:r>
          </w:p>
        </w:tc>
        <w:tc>
          <w:tcPr>
            <w:tcW w:w="2287" w:type="dxa"/>
            <w:vAlign w:val="center"/>
          </w:tcPr>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规格型号</w:t>
            </w:r>
          </w:p>
        </w:tc>
        <w:tc>
          <w:tcPr>
            <w:tcW w:w="550" w:type="dxa"/>
            <w:vAlign w:val="center"/>
          </w:tcPr>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单</w:t>
            </w:r>
          </w:p>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位</w:t>
            </w:r>
          </w:p>
        </w:tc>
        <w:tc>
          <w:tcPr>
            <w:tcW w:w="550" w:type="dxa"/>
            <w:vAlign w:val="center"/>
          </w:tcPr>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数</w:t>
            </w:r>
          </w:p>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量</w:t>
            </w:r>
          </w:p>
        </w:tc>
        <w:tc>
          <w:tcPr>
            <w:tcW w:w="1454" w:type="dxa"/>
            <w:vAlign w:val="center"/>
          </w:tcPr>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资金来源</w:t>
            </w:r>
          </w:p>
        </w:tc>
        <w:tc>
          <w:tcPr>
            <w:tcW w:w="2663" w:type="dxa"/>
            <w:vAlign w:val="center"/>
          </w:tcPr>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交（提）货</w:t>
            </w:r>
          </w:p>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vAlign w:val="center"/>
          </w:tcPr>
          <w:p>
            <w:pPr>
              <w:widowControl/>
              <w:jc w:val="center"/>
              <w:textAlignment w:val="center"/>
              <w:rPr>
                <w:rFonts w:hint="default"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数控车床</w:t>
            </w:r>
          </w:p>
        </w:tc>
        <w:tc>
          <w:tcPr>
            <w:tcW w:w="2287" w:type="dxa"/>
            <w:vAlign w:val="center"/>
          </w:tcPr>
          <w:p>
            <w:pPr>
              <w:widowControl/>
              <w:jc w:val="center"/>
              <w:textAlignment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CKA6180/4000</w:t>
            </w:r>
          </w:p>
        </w:tc>
        <w:tc>
          <w:tcPr>
            <w:tcW w:w="550" w:type="dxa"/>
            <w:vAlign w:val="center"/>
          </w:tcPr>
          <w:p>
            <w:pPr>
              <w:widowControl/>
              <w:jc w:val="center"/>
              <w:textAlignment w:val="center"/>
              <w:rPr>
                <w:rFonts w:hint="default"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台</w:t>
            </w:r>
          </w:p>
        </w:tc>
        <w:tc>
          <w:tcPr>
            <w:tcW w:w="550" w:type="dxa"/>
            <w:vAlign w:val="center"/>
          </w:tcPr>
          <w:p>
            <w:pPr>
              <w:widowControl/>
              <w:jc w:val="center"/>
              <w:textAlignment w:val="center"/>
              <w:rPr>
                <w:rFonts w:hint="default"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2</w:t>
            </w:r>
          </w:p>
        </w:tc>
        <w:tc>
          <w:tcPr>
            <w:tcW w:w="1454" w:type="dxa"/>
            <w:vAlign w:val="center"/>
          </w:tcPr>
          <w:p>
            <w:pPr>
              <w:adjustRightInd w:val="0"/>
              <w:snapToGrid w:val="0"/>
              <w:spacing w:line="320" w:lineRule="exact"/>
              <w:jc w:val="center"/>
              <w:rPr>
                <w:rFonts w:hint="default"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公司专项</w:t>
            </w:r>
          </w:p>
        </w:tc>
        <w:tc>
          <w:tcPr>
            <w:tcW w:w="2663" w:type="dxa"/>
            <w:vAlign w:val="center"/>
          </w:tcPr>
          <w:p>
            <w:pPr>
              <w:adjustRightInd w:val="0"/>
              <w:snapToGrid w:val="0"/>
              <w:spacing w:line="320" w:lineRule="exact"/>
              <w:jc w:val="center"/>
              <w:rPr>
                <w:rFonts w:hint="default"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天隆工业园</w:t>
            </w:r>
          </w:p>
        </w:tc>
      </w:tr>
    </w:tbl>
    <w:p>
      <w:pPr>
        <w:rPr>
          <w:rFonts w:hint="eastAsia" w:asciiTheme="minorEastAsia" w:hAnsiTheme="minorEastAsia" w:eastAsiaTheme="minorEastAsia" w:cstheme="minorEastAsia"/>
          <w:vanish/>
          <w:color w:val="000000" w:themeColor="text1"/>
          <w14:textFill>
            <w14:solidFill>
              <w14:schemeClr w14:val="tx1"/>
            </w14:solidFill>
          </w14:textFill>
        </w:rPr>
      </w:pPr>
    </w:p>
    <w:p>
      <w:pPr>
        <w:numPr>
          <w:ilvl w:val="0"/>
          <w:numId w:val="1"/>
        </w:numPr>
        <w:ind w:left="-13" w:leftChars="0" w:firstLine="643" w:firstLineChars="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基本参数：</w:t>
      </w:r>
    </w:p>
    <w:p>
      <w:pPr>
        <w:pStyle w:val="9"/>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床身上最大回转直径不小于</w:t>
      </w:r>
      <w:r>
        <w:rPr>
          <w:rFonts w:hint="eastAsia" w:ascii="宋体" w:hAnsi="宋体" w:eastAsia="宋体" w:cs="宋体"/>
          <w:color w:val="000000" w:themeColor="text1"/>
          <w:sz w:val="28"/>
          <w:szCs w:val="28"/>
          <w14:textFill>
            <w14:solidFill>
              <w14:schemeClr w14:val="tx1"/>
            </w14:solidFill>
          </w14:textFill>
        </w:rPr>
        <w:t>φ840mm</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刀架上最大回转直径</w:t>
      </w:r>
      <w:r>
        <w:rPr>
          <w:rFonts w:hint="eastAsia" w:ascii="宋体" w:hAnsi="宋体" w:eastAsia="宋体" w:cs="宋体"/>
          <w:color w:val="000000" w:themeColor="text1"/>
          <w:sz w:val="28"/>
          <w:szCs w:val="28"/>
          <w:lang w:val="en-US" w:eastAsia="zh-CN"/>
          <w14:textFill>
            <w14:solidFill>
              <w14:schemeClr w14:val="tx1"/>
            </w14:solidFill>
          </w14:textFill>
        </w:rPr>
        <w:t>不得低于</w:t>
      </w:r>
      <w:r>
        <w:rPr>
          <w:rFonts w:hint="eastAsia" w:ascii="宋体" w:hAnsi="宋体" w:eastAsia="宋体" w:cs="宋体"/>
          <w:color w:val="000000" w:themeColor="text1"/>
          <w:sz w:val="28"/>
          <w:szCs w:val="28"/>
          <w14:textFill>
            <w14:solidFill>
              <w14:schemeClr w14:val="tx1"/>
            </w14:solidFill>
          </w14:textFill>
        </w:rPr>
        <w:t>φ530mm</w:t>
      </w:r>
      <w:r>
        <w:rPr>
          <w:rFonts w:hint="eastAsia" w:ascii="宋体" w:hAnsi="宋体" w:eastAsia="宋体" w:cs="宋体"/>
          <w:color w:val="000000" w:themeColor="text1"/>
          <w:sz w:val="28"/>
          <w:szCs w:val="28"/>
          <w:lang w:val="en-US" w:eastAsia="zh-CN"/>
          <w14:textFill>
            <w14:solidFill>
              <w14:schemeClr w14:val="tx1"/>
            </w14:solidFill>
          </w14:textFill>
        </w:rPr>
        <w:t>车床最大加工长度不小于3750mm；机床最大载荷不小于3000Kg;</w:t>
      </w:r>
      <w:r>
        <w:rPr>
          <w:rFonts w:hint="eastAsia" w:ascii="宋体" w:hAnsi="宋体" w:eastAsia="宋体" w:cs="宋体"/>
          <w:color w:val="000000" w:themeColor="text1"/>
          <w:sz w:val="28"/>
          <w:szCs w:val="28"/>
          <w14:textFill>
            <w14:solidFill>
              <w14:schemeClr w14:val="tx1"/>
            </w14:solidFill>
          </w14:textFill>
        </w:rPr>
        <w:t>主轴头型式</w:t>
      </w:r>
      <w:r>
        <w:rPr>
          <w:rFonts w:hint="eastAsia" w:ascii="宋体" w:hAnsi="宋体" w:eastAsia="宋体" w:cs="宋体"/>
          <w:color w:val="000000" w:themeColor="text1"/>
          <w:sz w:val="28"/>
          <w:szCs w:val="28"/>
          <w:lang w:val="en-US" w:eastAsia="zh-CN"/>
          <w14:textFill>
            <w14:solidFill>
              <w14:schemeClr w14:val="tx1"/>
            </w14:solidFill>
          </w14:textFill>
        </w:rPr>
        <w:t>为C11;</w:t>
      </w:r>
      <w:r>
        <w:rPr>
          <w:rFonts w:hint="eastAsia" w:ascii="宋体" w:hAnsi="宋体" w:eastAsia="宋体" w:cs="宋体"/>
          <w:color w:val="000000" w:themeColor="text1"/>
          <w:sz w:val="28"/>
          <w:szCs w:val="28"/>
          <w14:textFill>
            <w14:solidFill>
              <w14:schemeClr w14:val="tx1"/>
            </w14:solidFill>
          </w14:textFill>
        </w:rPr>
        <w:t>床身导轨宽度</w:t>
      </w:r>
      <w:r>
        <w:rPr>
          <w:rFonts w:hint="eastAsia" w:ascii="宋体" w:hAnsi="宋体" w:eastAsia="宋体" w:cs="宋体"/>
          <w:color w:val="000000" w:themeColor="text1"/>
          <w:sz w:val="28"/>
          <w:szCs w:val="28"/>
          <w:lang w:val="en-US" w:eastAsia="zh-CN"/>
          <w14:textFill>
            <w14:solidFill>
              <w14:schemeClr w14:val="tx1"/>
            </w14:solidFill>
          </w14:textFill>
        </w:rPr>
        <w:t>不得低于</w:t>
      </w:r>
      <w:r>
        <w:rPr>
          <w:rFonts w:hint="eastAsia" w:ascii="宋体" w:hAnsi="宋体" w:eastAsia="宋体" w:cs="宋体"/>
          <w:color w:val="000000" w:themeColor="text1"/>
          <w:sz w:val="28"/>
          <w:szCs w:val="28"/>
          <w14:textFill>
            <w14:solidFill>
              <w14:schemeClr w14:val="tx1"/>
            </w14:solidFill>
          </w14:textFill>
        </w:rPr>
        <w:t>550mm</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主轴通孔直径不小于</w:t>
      </w:r>
      <w:r>
        <w:rPr>
          <w:rFonts w:hint="eastAsia" w:ascii="宋体" w:hAnsi="宋体" w:eastAsia="宋体" w:cs="宋体"/>
          <w:color w:val="000000" w:themeColor="text1"/>
          <w:sz w:val="28"/>
          <w:szCs w:val="28"/>
          <w14:textFill>
            <w14:solidFill>
              <w14:schemeClr w14:val="tx1"/>
            </w14:solidFill>
          </w14:textFill>
        </w:rPr>
        <w:t>φ105</w:t>
      </w:r>
      <w:r>
        <w:rPr>
          <w:rFonts w:hint="eastAsia" w:ascii="宋体" w:hAnsi="宋体" w:eastAsia="宋体" w:cs="宋体"/>
          <w:color w:val="000000" w:themeColor="text1"/>
          <w:sz w:val="28"/>
          <w:szCs w:val="28"/>
          <w:lang w:val="en-US" w:eastAsia="zh-CN"/>
          <w14:textFill>
            <w14:solidFill>
              <w14:schemeClr w14:val="tx1"/>
            </w14:solidFill>
          </w14:textFill>
        </w:rPr>
        <w:t>mm；</w:t>
      </w:r>
      <w:r>
        <w:rPr>
          <w:rFonts w:hint="eastAsia" w:ascii="宋体" w:hAnsi="宋体" w:eastAsia="宋体" w:cs="宋体"/>
          <w:color w:val="000000" w:themeColor="text1"/>
          <w:sz w:val="28"/>
          <w:szCs w:val="28"/>
          <w14:textFill>
            <w14:solidFill>
              <w14:schemeClr w14:val="tx1"/>
            </w14:solidFill>
          </w14:textFill>
        </w:rPr>
        <w:t>主轴变速方式及级数</w:t>
      </w:r>
      <w:r>
        <w:rPr>
          <w:rFonts w:hint="eastAsia" w:ascii="宋体" w:hAnsi="宋体" w:eastAsia="宋体" w:cs="宋体"/>
          <w:color w:val="000000" w:themeColor="text1"/>
          <w:sz w:val="28"/>
          <w:szCs w:val="28"/>
          <w:lang w:val="en-US" w:eastAsia="zh-CN"/>
          <w14:textFill>
            <w14:solidFill>
              <w14:schemeClr w14:val="tx1"/>
            </w14:solidFill>
          </w14:textFill>
        </w:rPr>
        <w:t>为自动四档无级变速；主轴转速</w:t>
      </w:r>
      <w:r>
        <w:rPr>
          <w:rFonts w:hint="eastAsia" w:ascii="宋体" w:hAnsi="宋体" w:eastAsia="宋体" w:cs="宋体"/>
          <w:color w:val="000000" w:themeColor="text1"/>
          <w:sz w:val="28"/>
          <w:szCs w:val="28"/>
          <w14:textFill>
            <w14:solidFill>
              <w14:schemeClr w14:val="tx1"/>
            </w14:solidFill>
          </w14:textFill>
        </w:rPr>
        <w:t>15-800r/min</w:t>
      </w:r>
      <w:r>
        <w:rPr>
          <w:rFonts w:hint="eastAsia" w:ascii="宋体" w:hAnsi="宋体" w:eastAsia="宋体" w:cs="宋体"/>
          <w:color w:val="000000" w:themeColor="text1"/>
          <w:sz w:val="28"/>
          <w:szCs w:val="28"/>
          <w:lang w:val="en-US" w:eastAsia="zh-CN"/>
          <w14:textFill>
            <w14:solidFill>
              <w14:schemeClr w14:val="tx1"/>
            </w14:solidFill>
          </w14:textFill>
        </w:rPr>
        <w:t>；主轴电机功率不小于11KW；</w:t>
      </w:r>
      <w:r>
        <w:rPr>
          <w:rFonts w:hint="eastAsia" w:ascii="宋体" w:hAnsi="宋体" w:eastAsia="宋体" w:cs="宋体"/>
          <w:color w:val="000000" w:themeColor="text1"/>
          <w:sz w:val="28"/>
          <w:szCs w:val="28"/>
          <w14:textFill>
            <w14:solidFill>
              <w14:schemeClr w14:val="tx1"/>
            </w14:solidFill>
          </w14:textFill>
        </w:rPr>
        <w:t>横向最大行程（X向）</w:t>
      </w:r>
      <w:r>
        <w:rPr>
          <w:rFonts w:hint="eastAsia" w:ascii="宋体" w:hAnsi="宋体" w:eastAsia="宋体" w:cs="宋体"/>
          <w:color w:val="000000" w:themeColor="text1"/>
          <w:sz w:val="28"/>
          <w:szCs w:val="28"/>
          <w:lang w:val="en-US" w:eastAsia="zh-CN"/>
          <w14:textFill>
            <w14:solidFill>
              <w14:schemeClr w14:val="tx1"/>
            </w14:solidFill>
          </w14:textFill>
        </w:rPr>
        <w:t>不得低于</w:t>
      </w:r>
      <w:r>
        <w:rPr>
          <w:rFonts w:hint="eastAsia" w:ascii="宋体" w:hAnsi="宋体" w:eastAsia="宋体" w:cs="宋体"/>
          <w:color w:val="000000" w:themeColor="text1"/>
          <w:sz w:val="28"/>
          <w:szCs w:val="28"/>
          <w14:textFill>
            <w14:solidFill>
              <w14:schemeClr w14:val="tx1"/>
            </w14:solidFill>
          </w14:textFill>
        </w:rPr>
        <w:t>450mm</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纵向最大行程（Z向）</w:t>
      </w:r>
      <w:r>
        <w:rPr>
          <w:rFonts w:hint="eastAsia" w:ascii="宋体" w:hAnsi="宋体" w:eastAsia="宋体" w:cs="宋体"/>
          <w:color w:val="000000" w:themeColor="text1"/>
          <w:sz w:val="28"/>
          <w:szCs w:val="28"/>
          <w:lang w:val="en-US" w:eastAsia="zh-CN"/>
          <w14:textFill>
            <w14:solidFill>
              <w14:schemeClr w14:val="tx1"/>
            </w14:solidFill>
          </w14:textFill>
        </w:rPr>
        <w:t>不得低于</w:t>
      </w:r>
      <w:r>
        <w:rPr>
          <w:rFonts w:hint="eastAsia" w:ascii="宋体" w:hAnsi="宋体" w:eastAsia="宋体" w:cs="宋体"/>
          <w:color w:val="000000" w:themeColor="text1"/>
          <w:sz w:val="28"/>
          <w:szCs w:val="28"/>
          <w14:textFill>
            <w14:solidFill>
              <w14:schemeClr w14:val="tx1"/>
            </w14:solidFill>
          </w14:textFill>
        </w:rPr>
        <w:t>4000mm</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夹紧方式为三爪自定心卡盘夹紧；刀架方式为</w:t>
      </w:r>
      <w:r>
        <w:rPr>
          <w:rFonts w:hint="eastAsia" w:ascii="宋体" w:hAnsi="宋体" w:eastAsia="宋体" w:cs="宋体"/>
          <w:color w:val="000000" w:themeColor="text1"/>
          <w:w w:val="80"/>
          <w:sz w:val="28"/>
          <w:szCs w:val="28"/>
          <w14:textFill>
            <w14:solidFill>
              <w14:schemeClr w14:val="tx1"/>
            </w14:solidFill>
          </w14:textFill>
        </w:rPr>
        <w:t>4工位电动刀架</w:t>
      </w:r>
      <w:r>
        <w:rPr>
          <w:rFonts w:hint="eastAsia" w:ascii="宋体" w:hAnsi="宋体" w:eastAsia="宋体" w:cs="宋体"/>
          <w:color w:val="000000" w:themeColor="text1"/>
          <w:sz w:val="28"/>
          <w:szCs w:val="28"/>
          <w:lang w:val="en-US" w:eastAsia="zh-CN"/>
          <w14:textFill>
            <w14:solidFill>
              <w14:schemeClr w14:val="tx1"/>
            </w14:solidFill>
          </w14:textFill>
        </w:rPr>
        <w:t>；PLC控制系统配置</w:t>
      </w:r>
      <w:r>
        <w:rPr>
          <w:rFonts w:hint="eastAsia" w:ascii="宋体" w:hAnsi="宋体" w:cs="宋体"/>
          <w:color w:val="000000" w:themeColor="text1"/>
          <w:sz w:val="28"/>
          <w:szCs w:val="28"/>
          <w:lang w:val="en-US" w:eastAsia="zh-CN"/>
          <w14:textFill>
            <w14:solidFill>
              <w14:schemeClr w14:val="tx1"/>
            </w14:solidFill>
          </w14:textFill>
        </w:rPr>
        <w:t>为</w:t>
      </w:r>
      <w:r>
        <w:rPr>
          <w:rFonts w:hint="eastAsia" w:ascii="宋体" w:hAnsi="宋体" w:eastAsia="宋体" w:cs="宋体"/>
          <w:color w:val="000000" w:themeColor="text1"/>
          <w:sz w:val="28"/>
          <w:szCs w:val="28"/>
          <w:lang w:val="en-US" w:eastAsia="zh-CN"/>
          <w14:textFill>
            <w14:solidFill>
              <w14:schemeClr w14:val="tx1"/>
            </w14:solidFill>
          </w14:textFill>
        </w:rPr>
        <w:t>广数系统</w:t>
      </w:r>
      <w:r>
        <w:rPr>
          <w:rFonts w:hint="eastAsia" w:ascii="宋体" w:hAnsi="宋体" w:eastAsia="宋体" w:cs="宋体"/>
          <w:color w:val="000000" w:themeColor="text1"/>
          <w:sz w:val="28"/>
          <w:szCs w:val="28"/>
          <w14:textFill>
            <w14:solidFill>
              <w14:schemeClr w14:val="tx1"/>
            </w14:solidFill>
          </w14:textFill>
        </w:rPr>
        <w:t>GSK980TDi</w:t>
      </w:r>
      <w:r>
        <w:rPr>
          <w:rFonts w:hint="eastAsia" w:ascii="宋体" w:hAnsi="宋体" w:eastAsia="宋体" w:cs="宋体"/>
          <w:color w:val="000000" w:themeColor="text1"/>
          <w:sz w:val="28"/>
          <w:szCs w:val="28"/>
          <w:lang w:val="en-US" w:eastAsia="zh-CN"/>
          <w14:textFill>
            <w14:solidFill>
              <w14:schemeClr w14:val="tx1"/>
            </w14:solidFill>
          </w14:textFill>
        </w:rPr>
        <w:t>；X/Z向进给电机必须为伺服电机；</w:t>
      </w:r>
      <w:r>
        <w:rPr>
          <w:rFonts w:hint="eastAsia" w:ascii="宋体" w:hAnsi="宋体" w:eastAsia="宋体" w:cs="宋体"/>
          <w:color w:val="000000" w:themeColor="text1"/>
          <w:sz w:val="28"/>
          <w:szCs w:val="28"/>
          <w14:textFill>
            <w14:solidFill>
              <w14:schemeClr w14:val="tx1"/>
            </w14:solidFill>
          </w14:textFill>
        </w:rPr>
        <w:t>系统存储程序个数</w:t>
      </w:r>
      <w:r>
        <w:rPr>
          <w:rFonts w:hint="eastAsia" w:ascii="宋体" w:hAnsi="宋体" w:cs="宋体"/>
          <w:color w:val="000000" w:themeColor="text1"/>
          <w:sz w:val="28"/>
          <w:szCs w:val="28"/>
          <w:lang w:val="en-US" w:eastAsia="zh-CN"/>
          <w14:textFill>
            <w14:solidFill>
              <w14:schemeClr w14:val="tx1"/>
            </w14:solidFill>
          </w14:textFill>
        </w:rPr>
        <w:t>不少于</w:t>
      </w:r>
      <w:r>
        <w:rPr>
          <w:rFonts w:hint="eastAsia" w:ascii="宋体" w:hAnsi="宋体" w:eastAsia="宋体" w:cs="宋体"/>
          <w:color w:val="000000" w:themeColor="text1"/>
          <w:sz w:val="28"/>
          <w:szCs w:val="28"/>
          <w:lang w:val="en-US" w:eastAsia="zh-CN"/>
          <w14:textFill>
            <w14:solidFill>
              <w14:schemeClr w14:val="tx1"/>
            </w14:solidFill>
          </w14:textFill>
        </w:rPr>
        <w:t>400个。</w:t>
      </w:r>
    </w:p>
    <w:p>
      <w:pPr>
        <w:pStyle w:val="9"/>
        <w:numPr>
          <w:ilvl w:val="0"/>
          <w:numId w:val="1"/>
        </w:numPr>
        <w:ind w:left="-13" w:leftChars="0" w:firstLine="643" w:firstLineChars="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基本要求：</w:t>
      </w:r>
    </w:p>
    <w:p>
      <w:pPr>
        <w:pStyle w:val="9"/>
        <w:numPr>
          <w:ilvl w:val="0"/>
          <w:numId w:val="2"/>
        </w:numPr>
        <w:ind w:left="630" w:leftChars="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控制轴数2轴（X轴、Z轴）；</w:t>
      </w:r>
    </w:p>
    <w:p>
      <w:pPr>
        <w:pStyle w:val="9"/>
        <w:numPr>
          <w:ilvl w:val="0"/>
          <w:numId w:val="2"/>
        </w:numPr>
        <w:ind w:left="630" w:leftChars="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车头箱采用液压自动变速，变速级数无级四档，变速范围15-800r/min；</w:t>
      </w:r>
    </w:p>
    <w:p>
      <w:pPr>
        <w:pStyle w:val="9"/>
        <w:numPr>
          <w:ilvl w:val="0"/>
          <w:numId w:val="2"/>
        </w:numPr>
        <w:ind w:left="630" w:leftChars="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床身采用整体铸造，结构为山型导轨平床身；</w:t>
      </w:r>
    </w:p>
    <w:p>
      <w:pPr>
        <w:pStyle w:val="9"/>
        <w:numPr>
          <w:ilvl w:val="0"/>
          <w:numId w:val="2"/>
        </w:numPr>
        <w:ind w:left="630" w:leftChars="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刀架为四工位电动刀架；机床不设置防护罩，采用转臂式随动（随拖板运动）LCD结构；</w:t>
      </w:r>
    </w:p>
    <w:p>
      <w:pPr>
        <w:pStyle w:val="9"/>
        <w:numPr>
          <w:ilvl w:val="0"/>
          <w:numId w:val="2"/>
        </w:numPr>
        <w:ind w:left="630" w:leftChars="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机床导轨（拖板）采用贴塑技术，电动间隙泵定时定量润滑；</w:t>
      </w:r>
    </w:p>
    <w:p>
      <w:pPr>
        <w:pStyle w:val="9"/>
        <w:numPr>
          <w:ilvl w:val="0"/>
          <w:numId w:val="2"/>
        </w:numPr>
        <w:ind w:left="630" w:leftChars="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主轴设置编码器；</w:t>
      </w:r>
    </w:p>
    <w:p>
      <w:pPr>
        <w:pStyle w:val="9"/>
        <w:numPr>
          <w:ilvl w:val="0"/>
          <w:numId w:val="2"/>
        </w:numPr>
        <w:ind w:left="630" w:leftChars="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采用GSK980TDi数控系统。</w:t>
      </w:r>
    </w:p>
    <w:p>
      <w:pPr>
        <w:pStyle w:val="9"/>
        <w:numPr>
          <w:ilvl w:val="0"/>
          <w:numId w:val="2"/>
        </w:numPr>
        <w:ind w:left="630" w:leftChars="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机床精度分级： 绝对精度：Ⅴ级</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相对精度：Ｐ</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加工精度：T6４</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加工光洁度：Ｒa3.2５</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执行标准：ＪB/T 9871-1999《金属切削机床精度分级》</w:t>
      </w:r>
    </w:p>
    <w:p>
      <w:pPr>
        <w:pStyle w:val="9"/>
        <w:numPr>
          <w:ilvl w:val="0"/>
          <w:numId w:val="2"/>
        </w:numPr>
        <w:ind w:left="630" w:leftChars="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推荐生产厂家：兰州机床厂、大连机床厂、宝鸡机床厂、沈阳机床厂。若选用其他厂家产品需提供优于上述厂家产品的有效的性能参数及功能要求。</w:t>
      </w:r>
    </w:p>
    <w:p>
      <w:pPr>
        <w:pStyle w:val="9"/>
        <w:numPr>
          <w:ilvl w:val="0"/>
          <w:numId w:val="1"/>
        </w:numPr>
        <w:ind w:left="-13" w:leftChars="0" w:firstLine="643" w:firstLineChars="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其他或环境要求：</w:t>
      </w:r>
    </w:p>
    <w:p>
      <w:pPr>
        <w:pStyle w:val="9"/>
        <w:ind w:left="0" w:leftChars="0"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主机验收标准</w:t>
      </w:r>
    </w:p>
    <w:p>
      <w:pPr>
        <w:pStyle w:val="9"/>
        <w:numPr>
          <w:ilvl w:val="0"/>
          <w:numId w:val="0"/>
        </w:numPr>
        <w:ind w:leftChars="200" w:firstLine="560" w:firstLineChars="200"/>
        <w:rPr>
          <w:rFonts w:hint="eastAsia" w:ascii="宋体" w:hAnsi="宋体"/>
          <w:color w:val="000000" w:themeColor="text1"/>
          <w:sz w:val="28"/>
          <w:lang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1、</w:t>
      </w:r>
      <w:r>
        <w:rPr>
          <w:rFonts w:hint="eastAsia" w:ascii="宋体" w:hAnsi="宋体"/>
          <w:color w:val="000000" w:themeColor="text1"/>
          <w:sz w:val="28"/>
          <w14:textFill>
            <w14:solidFill>
              <w14:schemeClr w14:val="tx1"/>
            </w14:solidFill>
          </w14:textFill>
        </w:rPr>
        <w:t>JB/T8324.1-1996 《简式数控卧式车床精度》</w:t>
      </w:r>
      <w:r>
        <w:rPr>
          <w:rFonts w:hint="eastAsia" w:ascii="宋体" w:hAnsi="宋体"/>
          <w:color w:val="000000" w:themeColor="text1"/>
          <w:sz w:val="28"/>
          <w:lang w:eastAsia="zh-CN"/>
          <w14:textFill>
            <w14:solidFill>
              <w14:schemeClr w14:val="tx1"/>
            </w14:solidFill>
          </w14:textFill>
        </w:rPr>
        <w:t>；</w:t>
      </w:r>
      <w:r>
        <w:rPr>
          <w:rFonts w:hint="eastAsia" w:ascii="宋体" w:hAnsi="宋体"/>
          <w:color w:val="000000" w:themeColor="text1"/>
          <w:sz w:val="28"/>
          <w14:textFill>
            <w14:solidFill>
              <w14:schemeClr w14:val="tx1"/>
            </w14:solidFill>
          </w14:textFill>
        </w:rPr>
        <w:t>JB/T8324.2-1996 《简式数控卧式车床</w:t>
      </w:r>
      <w:r>
        <w:rPr>
          <w:rFonts w:hint="eastAsia" w:ascii="宋体" w:hAnsi="宋体"/>
          <w:color w:val="000000" w:themeColor="text1"/>
          <w:sz w:val="28"/>
          <w:lang w:val="en-US" w:eastAsia="zh-CN"/>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技术条件》</w:t>
      </w:r>
      <w:r>
        <w:rPr>
          <w:rFonts w:hint="eastAsia" w:ascii="宋体" w:hAnsi="宋体"/>
          <w:color w:val="000000" w:themeColor="text1"/>
          <w:sz w:val="28"/>
          <w:lang w:eastAsia="zh-CN"/>
          <w14:textFill>
            <w14:solidFill>
              <w14:schemeClr w14:val="tx1"/>
            </w14:solidFill>
          </w14:textFill>
        </w:rPr>
        <w:t>；</w:t>
      </w:r>
    </w:p>
    <w:p>
      <w:pPr>
        <w:pStyle w:val="9"/>
        <w:numPr>
          <w:ilvl w:val="0"/>
          <w:numId w:val="0"/>
        </w:numPr>
        <w:ind w:leftChars="200" w:firstLine="560" w:firstLineChars="200"/>
        <w:rPr>
          <w:rFonts w:hint="eastAsia" w:ascii="宋体" w:hAnsi="宋体" w:cs="Arial"/>
          <w:color w:val="000000" w:themeColor="text1"/>
          <w:sz w:val="28"/>
          <w:szCs w:val="28"/>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2、</w:t>
      </w:r>
      <w:r>
        <w:rPr>
          <w:rFonts w:hint="eastAsia" w:ascii="宋体" w:hAnsi="宋体" w:cs="Arial"/>
          <w:color w:val="000000" w:themeColor="text1"/>
          <w:sz w:val="28"/>
          <w:szCs w:val="28"/>
          <w14:textFill>
            <w14:solidFill>
              <w14:schemeClr w14:val="tx1"/>
            </w14:solidFill>
          </w14:textFill>
        </w:rPr>
        <w:t>机床电气设计、制造、安装遵守IEC204-1或GB5226.1-2002标准;</w:t>
      </w:r>
    </w:p>
    <w:p>
      <w:pPr>
        <w:pStyle w:val="9"/>
        <w:numPr>
          <w:ilvl w:val="0"/>
          <w:numId w:val="0"/>
        </w:numPr>
        <w:ind w:leftChars="200" w:firstLine="560" w:firstLineChars="200"/>
        <w:rPr>
          <w:rFonts w:hint="eastAsia" w:ascii="宋体" w:hAnsi="宋体"/>
          <w:color w:val="000000" w:themeColor="text1"/>
          <w:sz w:val="28"/>
          <w:szCs w:val="28"/>
          <w:lang w:val="eu-ES"/>
          <w14:textFill>
            <w14:solidFill>
              <w14:schemeClr w14:val="tx1"/>
            </w14:solidFill>
          </w14:textFill>
        </w:rPr>
      </w:pPr>
      <w:r>
        <w:rPr>
          <w:rFonts w:hint="eastAsia" w:ascii="宋体" w:hAnsi="宋体" w:cs="Arial"/>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eu-ES"/>
          <w14:textFill>
            <w14:solidFill>
              <w14:schemeClr w14:val="tx1"/>
            </w14:solidFill>
          </w14:textFill>
        </w:rPr>
        <w:t>电控箱</w:t>
      </w:r>
      <w:r>
        <w:rPr>
          <w:rFonts w:hint="eastAsia" w:ascii="宋体" w:hAnsi="宋体" w:cs="Arial"/>
          <w:color w:val="000000" w:themeColor="text1"/>
          <w:sz w:val="28"/>
          <w:szCs w:val="28"/>
          <w14:textFill>
            <w14:solidFill>
              <w14:schemeClr w14:val="tx1"/>
            </w14:solidFill>
          </w14:textFill>
        </w:rPr>
        <w:t>防护等级IP54</w:t>
      </w:r>
      <w:r>
        <w:rPr>
          <w:rFonts w:hint="eastAsia" w:ascii="宋体" w:hAnsi="宋体"/>
          <w:color w:val="000000" w:themeColor="text1"/>
          <w:sz w:val="28"/>
          <w:szCs w:val="28"/>
          <w:lang w:val="eu-ES"/>
          <w14:textFill>
            <w14:solidFill>
              <w14:schemeClr w14:val="tx1"/>
            </w14:solidFill>
          </w14:textFill>
        </w:rPr>
        <w:t>;</w:t>
      </w:r>
    </w:p>
    <w:p>
      <w:pPr>
        <w:pStyle w:val="9"/>
        <w:numPr>
          <w:ilvl w:val="0"/>
          <w:numId w:val="0"/>
        </w:numPr>
        <w:ind w:leftChars="200" w:firstLine="560" w:firstLineChars="200"/>
        <w:rPr>
          <w:rFonts w:hint="eastAsia" w:ascii="宋体" w:hAnsi="宋体"/>
          <w:color w:val="000000" w:themeColor="text1"/>
          <w:sz w:val="28"/>
          <w:szCs w:val="28"/>
          <w:lang w:val="eu-ES"/>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lang w:val="eu-ES"/>
          <w14:textFill>
            <w14:solidFill>
              <w14:schemeClr w14:val="tx1"/>
            </w14:solidFill>
          </w14:textFill>
        </w:rPr>
        <w:t>元器件采用名优产品</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（二）机床精度分级：</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１、绝对精度：Ⅴ级</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２、相对精度：Ｐ</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３、加工精度：T6</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４、加工光洁度：Ｒa3.2</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５、执行标准：ＪB/T 9871-1999《金属切削机床  精度分级》</w:t>
      </w:r>
    </w:p>
    <w:p>
      <w:pPr>
        <w:ind w:firstLine="562" w:firstLineChars="200"/>
        <w:outlineLvl w:val="0"/>
        <w:rPr>
          <w:rFonts w:hint="eastAsia"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w:t>
      </w:r>
      <w:r>
        <w:rPr>
          <w:rFonts w:hint="eastAsia" w:ascii="宋体" w:hAnsi="宋体"/>
          <w:b/>
          <w:color w:val="000000" w:themeColor="text1"/>
          <w:sz w:val="28"/>
          <w:szCs w:val="28"/>
          <w:lang w:val="en-US" w:eastAsia="zh-CN"/>
          <w14:textFill>
            <w14:solidFill>
              <w14:schemeClr w14:val="tx1"/>
            </w14:solidFill>
          </w14:textFill>
        </w:rPr>
        <w:t>三</w:t>
      </w:r>
      <w:r>
        <w:rPr>
          <w:rFonts w:hint="eastAsia" w:ascii="宋体" w:hAnsi="宋体"/>
          <w:b/>
          <w:color w:val="000000" w:themeColor="text1"/>
          <w:sz w:val="28"/>
          <w:szCs w:val="28"/>
          <w:lang w:eastAsia="zh-CN"/>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主要精度指标</w:t>
      </w:r>
      <w:r>
        <w:rPr>
          <w:rFonts w:hint="eastAsia" w:ascii="宋体" w:hAnsi="宋体"/>
          <w:color w:val="000000" w:themeColor="text1"/>
          <w:sz w:val="28"/>
          <w:szCs w:val="28"/>
          <w14:textFill>
            <w14:solidFill>
              <w14:schemeClr w14:val="tx1"/>
            </w14:solidFill>
          </w14:textFill>
        </w:rPr>
        <w:t>：</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 xml:space="preserve">1、主轴端部的跳动：主轴的轴向窜动　0.01mm; 主轴轴肩支承面的跳动 0.02mm  </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2、主轴定心轴颈的径向跳动  0.01mm</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 xml:space="preserve">3、Ｚ轴重复定位精度Ｒ  0.025mm  </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4、Ｚ轴定位精度        0.07mm</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 xml:space="preserve">5、Ｘ轴重复定位精度Ｒ　0.012mm </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6、Ｘ轴定位精度  　　  0.03mm</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 xml:space="preserve">7、刀架重复定位精度    0.005mm  </w:t>
      </w:r>
    </w:p>
    <w:p>
      <w:pPr>
        <w:spacing w:line="440" w:lineRule="exact"/>
        <w:ind w:left="601" w:leftChars="286"/>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（四）随机配件</w:t>
      </w:r>
    </w:p>
    <w:p>
      <w:pPr>
        <w:pStyle w:val="9"/>
        <w:numPr>
          <w:ilvl w:val="0"/>
          <w:numId w:val="0"/>
        </w:numPr>
        <w:ind w:leftChars="200" w:firstLine="560" w:firstLineChars="200"/>
        <w:rPr>
          <w:rFonts w:hint="eastAsia" w:ascii="宋体" w:hAnsi="宋体"/>
          <w:color w:val="000000" w:themeColor="text1"/>
          <w:sz w:val="28"/>
          <w:highlight w:val="yellow"/>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1、</w:t>
      </w:r>
      <w:r>
        <w:rPr>
          <w:rFonts w:hint="eastAsia" w:ascii="宋体" w:hAnsi="宋体"/>
          <w:color w:val="000000" w:themeColor="text1"/>
          <w:sz w:val="28"/>
          <w:highlight w:val="yellow"/>
          <w:lang w:val="en-US" w:eastAsia="zh-CN"/>
          <w14:textFill>
            <w14:solidFill>
              <w14:schemeClr w14:val="tx1"/>
            </w14:solidFill>
          </w14:textFill>
        </w:rPr>
        <w:t>φ320三爪卡盘总承；Φ500四爪卡盘总承</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2、可调垫铁、地脚螺栓；</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3、扳手</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4、顶尖（MT5或MT6）；</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5、</w:t>
      </w:r>
      <w:r>
        <w:rPr>
          <w:rFonts w:hint="eastAsia" w:ascii="宋体" w:hAnsi="宋体"/>
          <w:color w:val="000000" w:themeColor="text1"/>
          <w:sz w:val="28"/>
          <w:highlight w:val="yellow"/>
          <w:lang w:val="en-US" w:eastAsia="zh-CN"/>
          <w14:textFill>
            <w14:solidFill>
              <w14:schemeClr w14:val="tx1"/>
            </w14:solidFill>
          </w14:textFill>
        </w:rPr>
        <w:t>φ100-500mm中心架体 1套。</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6、φ25-100mm跟刀架 1套</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7、扳手：S92-5  15；S91-1A  41X46  12X14  各1件</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8、刀架板手：1件</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 xml:space="preserve">9、使用说明书 </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 xml:space="preserve">10、合格证书 </w:t>
      </w:r>
    </w:p>
    <w:p>
      <w:pPr>
        <w:pStyle w:val="9"/>
        <w:numPr>
          <w:ilvl w:val="0"/>
          <w:numId w:val="0"/>
        </w:numPr>
        <w:ind w:leftChars="200" w:firstLine="560" w:firstLineChars="200"/>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 xml:space="preserve">11、装箱单 </w:t>
      </w:r>
    </w:p>
    <w:p>
      <w:pPr>
        <w:pStyle w:val="9"/>
        <w:numPr>
          <w:ilvl w:val="0"/>
          <w:numId w:val="0"/>
        </w:numPr>
        <w:ind w:leftChars="200" w:firstLine="560" w:firstLineChars="200"/>
        <w:rPr>
          <w:rFonts w:hint="default"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12、数控系统操作、维修说明书纸质四份，电子版一份。</w:t>
      </w:r>
    </w:p>
    <w:p>
      <w:pPr>
        <w:pStyle w:val="9"/>
        <w:numPr>
          <w:ilvl w:val="0"/>
          <w:numId w:val="0"/>
        </w:numPr>
        <w:ind w:leftChars="200" w:firstLine="560" w:firstLineChars="200"/>
        <w:rPr>
          <w:rFonts w:hint="default"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13、其它随机技术文件等</w:t>
      </w:r>
    </w:p>
    <w:p>
      <w:pPr>
        <w:pStyle w:val="9"/>
        <w:numPr>
          <w:ilvl w:val="0"/>
          <w:numId w:val="1"/>
        </w:numPr>
        <w:ind w:left="-13" w:leftChars="0" w:firstLine="643" w:firstLineChars="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质量保证、付款方式及售后：</w:t>
      </w:r>
    </w:p>
    <w:p>
      <w:pPr>
        <w:pStyle w:val="9"/>
        <w:numPr>
          <w:ilvl w:val="0"/>
          <w:numId w:val="0"/>
        </w:numPr>
        <w:ind w:left="630" w:leftChars="0"/>
        <w:rPr>
          <w:rFonts w:hint="default"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（一）技术支持及售后服务</w:t>
      </w:r>
    </w:p>
    <w:p>
      <w:pPr>
        <w:widowControl w:val="0"/>
        <w:tabs>
          <w:tab w:val="left" w:pos="8133"/>
        </w:tabs>
        <w:snapToGrid w:val="0"/>
        <w:spacing w:line="360" w:lineRule="auto"/>
        <w:ind w:firstLine="960" w:firstLineChars="300"/>
        <w:rPr>
          <w:rFonts w:hint="eastAsia" w:ascii="宋体" w:hAnsi="宋体" w:eastAsia="宋体" w:cs="宋体"/>
          <w:color w:val="000000" w:themeColor="text1"/>
          <w:kern w:val="2"/>
          <w:sz w:val="32"/>
          <w:szCs w:val="32"/>
          <w:u w:val="none" w:color="auto"/>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产品到达用户安装到位后一周，派调试人员对机床进行调试，机床装配完成后</w:t>
      </w:r>
      <w:r>
        <w:rPr>
          <w:rFonts w:hint="eastAsia"/>
          <w:color w:val="000000" w:themeColor="text1"/>
          <w:sz w:val="28"/>
          <w:szCs w:val="28"/>
          <w:lang w:val="en-US" w:eastAsia="zh-CN"/>
          <w14:textFill>
            <w14:solidFill>
              <w14:schemeClr w14:val="tx1"/>
            </w14:solidFill>
          </w14:textFill>
        </w:rPr>
        <w:t>供方需进行</w:t>
      </w:r>
      <w:r>
        <w:rPr>
          <w:rFonts w:hint="eastAsia"/>
          <w:color w:val="000000" w:themeColor="text1"/>
          <w:sz w:val="28"/>
          <w:szCs w:val="28"/>
          <w14:textFill>
            <w14:solidFill>
              <w14:schemeClr w14:val="tx1"/>
            </w14:solidFill>
          </w14:textFill>
        </w:rPr>
        <w:t>免费培训。</w:t>
      </w:r>
    </w:p>
    <w:p>
      <w:pPr>
        <w:widowControl w:val="0"/>
        <w:tabs>
          <w:tab w:val="left" w:pos="8133"/>
        </w:tabs>
        <w:snapToGrid w:val="0"/>
        <w:spacing w:line="360" w:lineRule="auto"/>
        <w:ind w:firstLine="960" w:firstLineChars="300"/>
        <w:rPr>
          <w:rFonts w:hint="eastAsia" w:ascii="宋体" w:hAnsi="宋体" w:eastAsia="宋体" w:cs="宋体"/>
          <w:color w:val="000000" w:themeColor="text1"/>
          <w:kern w:val="2"/>
          <w:sz w:val="32"/>
          <w:szCs w:val="32"/>
          <w:u w:val="none" w:color="auto"/>
          <w14:textFill>
            <w14:solidFill>
              <w14:schemeClr w14:val="tx1"/>
            </w14:solidFill>
          </w14:textFill>
        </w:rPr>
      </w:pPr>
      <w:r>
        <w:rPr>
          <w:rFonts w:hint="eastAsia" w:ascii="宋体" w:hAnsi="宋体" w:cs="宋体"/>
          <w:color w:val="000000" w:themeColor="text1"/>
          <w:kern w:val="2"/>
          <w:sz w:val="32"/>
          <w:szCs w:val="32"/>
          <w:u w:val="none" w:color="auto"/>
          <w:lang w:val="en-US" w:eastAsia="zh-CN"/>
          <w14:textFill>
            <w14:solidFill>
              <w14:schemeClr w14:val="tx1"/>
            </w14:solidFill>
          </w14:textFill>
        </w:rPr>
        <w:t>2、</w:t>
      </w:r>
      <w:r>
        <w:rPr>
          <w:rFonts w:hint="eastAsia" w:ascii="宋体" w:hAnsi="宋体" w:eastAsia="宋体" w:cs="宋体"/>
          <w:color w:val="000000" w:themeColor="text1"/>
          <w:kern w:val="2"/>
          <w:sz w:val="32"/>
          <w:szCs w:val="32"/>
          <w:u w:val="none" w:color="auto"/>
          <w14:textFill>
            <w14:solidFill>
              <w14:schemeClr w14:val="tx1"/>
            </w14:solidFill>
          </w14:textFill>
        </w:rPr>
        <w:t>安装调试之前，由</w:t>
      </w:r>
      <w:r>
        <w:rPr>
          <w:rFonts w:hint="eastAsia" w:ascii="宋体" w:hAnsi="宋体" w:cs="宋体"/>
          <w:color w:val="000000" w:themeColor="text1"/>
          <w:kern w:val="2"/>
          <w:sz w:val="32"/>
          <w:szCs w:val="32"/>
          <w:u w:val="none" w:color="auto"/>
          <w:lang w:val="en-US" w:eastAsia="zh-CN"/>
          <w14:textFill>
            <w14:solidFill>
              <w14:schemeClr w14:val="tx1"/>
            </w14:solidFill>
          </w14:textFill>
        </w:rPr>
        <w:t>使用</w:t>
      </w:r>
      <w:r>
        <w:rPr>
          <w:rFonts w:hint="eastAsia" w:ascii="宋体" w:hAnsi="宋体" w:eastAsia="宋体" w:cs="宋体"/>
          <w:color w:val="000000" w:themeColor="text1"/>
          <w:kern w:val="2"/>
          <w:sz w:val="32"/>
          <w:szCs w:val="32"/>
          <w:u w:val="none" w:color="auto"/>
          <w14:textFill>
            <w14:solidFill>
              <w14:schemeClr w14:val="tx1"/>
            </w14:solidFill>
          </w14:textFill>
        </w:rPr>
        <w:t>方和</w:t>
      </w:r>
      <w:r>
        <w:rPr>
          <w:rFonts w:hint="eastAsia" w:ascii="宋体" w:hAnsi="宋体" w:cs="宋体"/>
          <w:color w:val="000000" w:themeColor="text1"/>
          <w:kern w:val="2"/>
          <w:sz w:val="32"/>
          <w:szCs w:val="32"/>
          <w:u w:val="none" w:color="auto"/>
          <w:lang w:val="en-US" w:eastAsia="zh-CN"/>
          <w14:textFill>
            <w14:solidFill>
              <w14:schemeClr w14:val="tx1"/>
            </w14:solidFill>
          </w14:textFill>
        </w:rPr>
        <w:t>售卖</w:t>
      </w:r>
      <w:r>
        <w:rPr>
          <w:rFonts w:hint="eastAsia" w:ascii="宋体" w:hAnsi="宋体" w:eastAsia="宋体" w:cs="宋体"/>
          <w:color w:val="000000" w:themeColor="text1"/>
          <w:kern w:val="2"/>
          <w:sz w:val="32"/>
          <w:szCs w:val="32"/>
          <w:u w:val="none" w:color="auto"/>
          <w14:textFill>
            <w14:solidFill>
              <w14:schemeClr w14:val="tx1"/>
            </w14:solidFill>
          </w14:textFill>
        </w:rPr>
        <w:t>方所派人员共同开箱，按技术协议、商务合同及装箱单清点</w:t>
      </w:r>
      <w:r>
        <w:rPr>
          <w:rFonts w:hint="eastAsia" w:ascii="宋体" w:hAnsi="宋体" w:eastAsia="宋体" w:cs="宋体"/>
          <w:color w:val="000000" w:themeColor="text1"/>
          <w:kern w:val="2"/>
          <w:sz w:val="32"/>
          <w:szCs w:val="32"/>
          <w:u w:val="none" w:color="auto"/>
          <w:lang w:val="en-US" w:eastAsia="zh-CN"/>
          <w14:textFill>
            <w14:solidFill>
              <w14:schemeClr w14:val="tx1"/>
            </w14:solidFill>
          </w14:textFill>
        </w:rPr>
        <w:t>设备</w:t>
      </w:r>
      <w:r>
        <w:rPr>
          <w:rFonts w:hint="eastAsia" w:ascii="宋体" w:hAnsi="宋体" w:eastAsia="宋体" w:cs="宋体"/>
          <w:color w:val="000000" w:themeColor="text1"/>
          <w:kern w:val="2"/>
          <w:sz w:val="32"/>
          <w:szCs w:val="32"/>
          <w:u w:val="none" w:color="auto"/>
          <w14:textFill>
            <w14:solidFill>
              <w14:schemeClr w14:val="tx1"/>
            </w14:solidFill>
          </w14:textFill>
        </w:rPr>
        <w:t>配</w:t>
      </w:r>
      <w:r>
        <w:rPr>
          <w:rFonts w:hint="eastAsia" w:ascii="宋体" w:hAnsi="宋体" w:eastAsia="宋体" w:cs="宋体"/>
          <w:color w:val="000000" w:themeColor="text1"/>
          <w:kern w:val="2"/>
          <w:sz w:val="32"/>
          <w:szCs w:val="32"/>
          <w:u w:val="none" w:color="auto"/>
          <w:lang w:eastAsia="zh-CN"/>
          <w14:textFill>
            <w14:solidFill>
              <w14:schemeClr w14:val="tx1"/>
            </w14:solidFill>
          </w14:textFill>
        </w:rPr>
        <w:t>、</w:t>
      </w:r>
      <w:r>
        <w:rPr>
          <w:rFonts w:hint="eastAsia" w:ascii="宋体" w:hAnsi="宋体" w:eastAsia="宋体" w:cs="宋体"/>
          <w:color w:val="000000" w:themeColor="text1"/>
          <w:kern w:val="2"/>
          <w:sz w:val="32"/>
          <w:szCs w:val="32"/>
          <w:u w:val="none" w:color="auto"/>
          <w14:textFill>
            <w14:solidFill>
              <w14:schemeClr w14:val="tx1"/>
            </w14:solidFill>
          </w14:textFill>
        </w:rPr>
        <w:t>件及随机附件。</w:t>
      </w:r>
    </w:p>
    <w:p>
      <w:pPr>
        <w:ind w:firstLine="960" w:firstLineChars="3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kern w:val="2"/>
          <w:sz w:val="32"/>
          <w:szCs w:val="32"/>
          <w:u w:val="none" w:color="auto"/>
          <w:lang w:val="en-US" w:eastAsia="zh-CN"/>
          <w14:textFill>
            <w14:solidFill>
              <w14:schemeClr w14:val="tx1"/>
            </w14:solidFill>
          </w14:textFill>
        </w:rPr>
        <w:t>3、</w:t>
      </w:r>
      <w:r>
        <w:rPr>
          <w:rFonts w:hint="eastAsia" w:ascii="宋体" w:hAnsi="宋体" w:eastAsia="宋体" w:cs="宋体"/>
          <w:color w:val="000000" w:themeColor="text1"/>
          <w:kern w:val="2"/>
          <w:sz w:val="32"/>
          <w:szCs w:val="32"/>
          <w:u w:val="none" w:color="auto"/>
          <w:lang w:val="en-US" w:eastAsia="zh-CN"/>
          <w14:textFill>
            <w14:solidFill>
              <w14:schemeClr w14:val="tx1"/>
            </w14:solidFill>
          </w14:textFill>
        </w:rPr>
        <w:t>生产线设备</w:t>
      </w:r>
      <w:r>
        <w:rPr>
          <w:rFonts w:hint="eastAsia" w:ascii="宋体" w:hAnsi="宋体" w:eastAsia="宋体" w:cs="宋体"/>
          <w:color w:val="000000" w:themeColor="text1"/>
          <w:sz w:val="32"/>
          <w:szCs w:val="32"/>
          <w14:textFill>
            <w14:solidFill>
              <w14:schemeClr w14:val="tx1"/>
            </w14:solidFill>
          </w14:textFill>
        </w:rPr>
        <w:t>和控制系统质保期为</w:t>
      </w:r>
      <w:r>
        <w:rPr>
          <w:rFonts w:hint="eastAsia" w:ascii="宋体" w:hAnsi="宋体" w:eastAsia="宋体" w:cs="宋体"/>
          <w:color w:val="000000" w:themeColor="text1"/>
          <w:sz w:val="32"/>
          <w:szCs w:val="32"/>
          <w:lang w:val="en-US" w:eastAsia="zh-CN"/>
          <w14:textFill>
            <w14:solidFill>
              <w14:schemeClr w14:val="tx1"/>
            </w14:solidFill>
          </w14:textFill>
        </w:rPr>
        <w:t>12个月</w:t>
      </w:r>
      <w:r>
        <w:rPr>
          <w:rFonts w:hint="eastAsia" w:ascii="宋体" w:hAnsi="宋体" w:eastAsia="宋体" w:cs="宋体"/>
          <w:color w:val="000000" w:themeColor="text1"/>
          <w:sz w:val="32"/>
          <w:szCs w:val="32"/>
          <w14:textFill>
            <w14:solidFill>
              <w14:schemeClr w14:val="tx1"/>
            </w14:solidFill>
          </w14:textFill>
        </w:rPr>
        <w:t>，质保期过后按优惠价提供</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方提出的配件和技术服务。设备发生故障以后，</w:t>
      </w:r>
      <w:r>
        <w:rPr>
          <w:rFonts w:hint="eastAsia" w:ascii="宋体" w:hAnsi="宋体" w:cs="宋体"/>
          <w:color w:val="000000" w:themeColor="text1"/>
          <w:sz w:val="32"/>
          <w:szCs w:val="32"/>
          <w:lang w:val="en-US" w:eastAsia="zh-CN"/>
          <w14:textFill>
            <w14:solidFill>
              <w14:schemeClr w14:val="tx1"/>
            </w14:solidFill>
          </w14:textFill>
        </w:rPr>
        <w:t>使用</w:t>
      </w:r>
      <w:r>
        <w:rPr>
          <w:rFonts w:hint="eastAsia" w:ascii="宋体" w:hAnsi="宋体" w:eastAsia="宋体" w:cs="宋体"/>
          <w:color w:val="000000" w:themeColor="text1"/>
          <w:sz w:val="32"/>
          <w:szCs w:val="32"/>
          <w14:textFill>
            <w14:solidFill>
              <w14:schemeClr w14:val="tx1"/>
            </w14:solidFill>
          </w14:textFill>
        </w:rPr>
        <w:t>方应将故障内容以传真形式或电话形式及时通知</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方在接到通知后4个小时内优先以电话形式沟通解决故障，如</w:t>
      </w:r>
      <w:r>
        <w:rPr>
          <w:rFonts w:hint="eastAsia" w:ascii="宋体" w:hAnsi="宋体" w:eastAsia="宋体" w:cs="宋体"/>
          <w:color w:val="000000" w:themeColor="text1"/>
          <w:sz w:val="32"/>
          <w:szCs w:val="32"/>
          <w:lang w:val="en-US" w:eastAsia="zh-CN"/>
          <w14:textFill>
            <w14:solidFill>
              <w14:schemeClr w14:val="tx1"/>
            </w14:solidFill>
          </w14:textFill>
        </w:rPr>
        <w:t>网络</w:t>
      </w:r>
      <w:r>
        <w:rPr>
          <w:rFonts w:hint="eastAsia" w:ascii="宋体" w:hAnsi="宋体" w:eastAsia="宋体" w:cs="宋体"/>
          <w:color w:val="000000" w:themeColor="text1"/>
          <w:sz w:val="32"/>
          <w:szCs w:val="32"/>
          <w14:textFill>
            <w14:solidFill>
              <w14:schemeClr w14:val="tx1"/>
            </w14:solidFill>
          </w14:textFill>
        </w:rPr>
        <w:t>沟通不能排除故障，则</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方在</w:t>
      </w:r>
      <w:r>
        <w:rPr>
          <w:rFonts w:hint="eastAsia" w:ascii="宋体" w:hAnsi="宋体" w:eastAsia="宋体" w:cs="宋体"/>
          <w:color w:val="000000" w:themeColor="text1"/>
          <w:sz w:val="32"/>
          <w:szCs w:val="32"/>
          <w:lang w:val="en-US" w:eastAsia="zh-CN"/>
          <w14:textFill>
            <w14:solidFill>
              <w14:schemeClr w14:val="tx1"/>
            </w14:solidFill>
          </w14:textFill>
        </w:rPr>
        <w:t>48小时内到达</w:t>
      </w:r>
      <w:r>
        <w:rPr>
          <w:rFonts w:hint="eastAsia" w:ascii="宋体" w:hAnsi="宋体" w:cs="宋体"/>
          <w:color w:val="000000" w:themeColor="text1"/>
          <w:sz w:val="32"/>
          <w:szCs w:val="32"/>
          <w:lang w:val="en-US" w:eastAsia="zh-CN"/>
          <w14:textFill>
            <w14:solidFill>
              <w14:schemeClr w14:val="tx1"/>
            </w14:solidFill>
          </w14:textFill>
        </w:rPr>
        <w:t>使用</w:t>
      </w:r>
      <w:r>
        <w:rPr>
          <w:rFonts w:hint="eastAsia" w:ascii="宋体" w:hAnsi="宋体" w:eastAsia="宋体" w:cs="宋体"/>
          <w:color w:val="000000" w:themeColor="text1"/>
          <w:sz w:val="32"/>
          <w:szCs w:val="32"/>
          <w14:textFill>
            <w14:solidFill>
              <w14:schemeClr w14:val="tx1"/>
            </w14:solidFill>
          </w14:textFill>
        </w:rPr>
        <w:t>方现场进行</w:t>
      </w:r>
      <w:r>
        <w:rPr>
          <w:rFonts w:hint="eastAsia" w:ascii="宋体" w:hAnsi="宋体" w:eastAsia="宋体" w:cs="宋体"/>
          <w:color w:val="000000" w:themeColor="text1"/>
          <w:sz w:val="32"/>
          <w:szCs w:val="32"/>
          <w:lang w:val="en-US" w:eastAsia="zh-CN"/>
          <w14:textFill>
            <w14:solidFill>
              <w14:schemeClr w14:val="tx1"/>
            </w14:solidFill>
          </w14:textFill>
        </w:rPr>
        <w:t>售后</w:t>
      </w:r>
      <w:r>
        <w:rPr>
          <w:rFonts w:hint="eastAsia" w:ascii="宋体" w:hAnsi="宋体" w:eastAsia="宋体" w:cs="宋体"/>
          <w:color w:val="000000" w:themeColor="text1"/>
          <w:sz w:val="32"/>
          <w:szCs w:val="32"/>
          <w14:textFill>
            <w14:solidFill>
              <w14:schemeClr w14:val="tx1"/>
            </w14:solidFill>
          </w14:textFill>
        </w:rPr>
        <w:t>服务。</w:t>
      </w:r>
    </w:p>
    <w:p>
      <w:pPr>
        <w:tabs>
          <w:tab w:val="left" w:pos="567"/>
          <w:tab w:val="left" w:pos="945"/>
        </w:tabs>
        <w:ind w:firstLine="960" w:firstLineChars="3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kern w:val="2"/>
          <w:sz w:val="32"/>
          <w:szCs w:val="32"/>
          <w:u w:val="none" w:color="auto"/>
          <w:lang w:val="en-US" w:eastAsia="zh-CN"/>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若属正常使用状态下发生的故障，对属</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方责任的只要在上述质保期内，可进行无偿修理或部品更换。</w:t>
      </w:r>
    </w:p>
    <w:p>
      <w:pPr>
        <w:tabs>
          <w:tab w:val="left" w:pos="567"/>
          <w:tab w:val="left" w:pos="945"/>
        </w:tabs>
        <w:ind w:firstLine="960" w:firstLineChars="3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kern w:val="2"/>
          <w:sz w:val="32"/>
          <w:szCs w:val="32"/>
          <w:u w:val="none" w:color="auto"/>
          <w:lang w:val="en-US" w:eastAsia="zh-CN"/>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质保期结束后，</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方将</w:t>
      </w:r>
      <w:r>
        <w:rPr>
          <w:rFonts w:hint="eastAsia" w:ascii="宋体" w:hAnsi="宋体" w:cs="宋体"/>
          <w:color w:val="000000" w:themeColor="text1"/>
          <w:sz w:val="32"/>
          <w:szCs w:val="32"/>
          <w:lang w:val="en-US" w:eastAsia="zh-CN"/>
          <w14:textFill>
            <w14:solidFill>
              <w14:schemeClr w14:val="tx1"/>
            </w14:solidFill>
          </w14:textFill>
        </w:rPr>
        <w:t>低价</w:t>
      </w:r>
      <w:r>
        <w:rPr>
          <w:rFonts w:hint="eastAsia" w:ascii="宋体" w:hAnsi="宋体" w:eastAsia="宋体" w:cs="宋体"/>
          <w:color w:val="000000" w:themeColor="text1"/>
          <w:sz w:val="32"/>
          <w:szCs w:val="32"/>
          <w14:textFill>
            <w14:solidFill>
              <w14:schemeClr w14:val="tx1"/>
            </w14:solidFill>
          </w14:textFill>
        </w:rPr>
        <w:t>有偿提供全面的技术支持及所需备品配件。</w:t>
      </w:r>
    </w:p>
    <w:p>
      <w:pPr>
        <w:pStyle w:val="9"/>
        <w:ind w:left="0" w:leftChars="0"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p>
    <w:p>
      <w:pPr>
        <w:spacing w:line="400" w:lineRule="exact"/>
        <w:rPr>
          <w:rFonts w:hint="eastAsia" w:asciiTheme="minorEastAsia" w:hAnsiTheme="minorEastAsia" w:eastAsiaTheme="minorEastAsia" w:cstheme="minorEastAsia"/>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Cs/>
          <w:color w:val="000000" w:themeColor="text1"/>
          <w:sz w:val="32"/>
          <w:szCs w:val="32"/>
          <w14:textFill>
            <w14:solidFill>
              <w14:schemeClr w14:val="tx1"/>
            </w14:solidFill>
          </w14:textFill>
        </w:rPr>
        <w:t>（以下空白，无正文）</w:t>
      </w:r>
    </w:p>
    <w:p>
      <w:pPr>
        <w:pStyle w:val="9"/>
        <w:numPr>
          <w:ilvl w:val="0"/>
          <w:numId w:val="0"/>
        </w:numPr>
        <w:ind w:left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p>
    <w:p>
      <w:pPr>
        <w:pStyle w:val="9"/>
        <w:numPr>
          <w:ilvl w:val="0"/>
          <w:numId w:val="0"/>
        </w:numPr>
        <w:ind w:left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both"/>
        <w:textAlignment w:val="auto"/>
        <w:rPr>
          <w:rFonts w:hint="eastAsia" w:asciiTheme="minorEastAsia" w:hAnsiTheme="minorEastAsia" w:eastAsiaTheme="minorEastAsia" w:cstheme="minorEastAsia"/>
          <w:bCs/>
          <w:sz w:val="36"/>
          <w:szCs w:val="36"/>
        </w:rPr>
      </w:pPr>
    </w:p>
    <w:p>
      <w:pPr>
        <w:pStyle w:val="2"/>
        <w:rPr>
          <w:rFonts w:hint="eastAsia" w:asciiTheme="minorEastAsia" w:hAnsiTheme="minorEastAsia" w:eastAsiaTheme="minorEastAsia" w:cstheme="minorEastAsia"/>
          <w:bCs/>
          <w:sz w:val="36"/>
          <w:szCs w:val="36"/>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签</w:t>
      </w:r>
      <w:r>
        <w:rPr>
          <w:rFonts w:hint="eastAsia" w:asciiTheme="majorEastAsia" w:hAnsiTheme="majorEastAsia" w:eastAsiaTheme="majorEastAsia" w:cstheme="majorEastAsia"/>
          <w:b/>
          <w:bCs w:val="0"/>
          <w:sz w:val="36"/>
          <w:szCs w:val="36"/>
          <w:lang w:val="en-US" w:eastAsia="zh-CN"/>
        </w:rPr>
        <w:t xml:space="preserve"> </w:t>
      </w:r>
      <w:r>
        <w:rPr>
          <w:rFonts w:hint="eastAsia" w:asciiTheme="majorEastAsia" w:hAnsiTheme="majorEastAsia" w:eastAsiaTheme="majorEastAsia" w:cstheme="majorEastAsia"/>
          <w:b/>
          <w:bCs w:val="0"/>
          <w:sz w:val="36"/>
          <w:szCs w:val="36"/>
        </w:rPr>
        <w:t>字</w:t>
      </w:r>
      <w:r>
        <w:rPr>
          <w:rFonts w:hint="eastAsia" w:asciiTheme="majorEastAsia" w:hAnsiTheme="majorEastAsia" w:eastAsiaTheme="majorEastAsia" w:cstheme="majorEastAsia"/>
          <w:b/>
          <w:bCs w:val="0"/>
          <w:sz w:val="36"/>
          <w:szCs w:val="36"/>
          <w:lang w:val="en-US" w:eastAsia="zh-CN"/>
        </w:rPr>
        <w:t xml:space="preserve"> 审 批 </w:t>
      </w:r>
      <w:r>
        <w:rPr>
          <w:rFonts w:hint="eastAsia" w:asciiTheme="majorEastAsia" w:hAnsiTheme="majorEastAsia" w:eastAsiaTheme="majorEastAsia" w:cstheme="majorEastAsia"/>
          <w:b/>
          <w:bCs w:val="0"/>
          <w:sz w:val="36"/>
          <w:szCs w:val="36"/>
        </w:rPr>
        <w:t>页</w:t>
      </w:r>
    </w:p>
    <w:p>
      <w:pPr>
        <w:pStyle w:val="2"/>
        <w:rPr>
          <w:rFonts w:hint="eastAsia" w:asciiTheme="minorEastAsia" w:hAnsiTheme="minorEastAsia" w:eastAsiaTheme="minorEastAsia" w:cstheme="minorEastAsia"/>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lang w:val="en-US" w:eastAsia="zh-CN"/>
        </w:rPr>
        <w:t>使用方（章）：</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color w:val="FF0000"/>
          <w:sz w:val="32"/>
          <w:szCs w:val="32"/>
          <w:lang w:val="en-US" w:eastAsia="zh-CN"/>
        </w:rPr>
        <w:t>（填写集团公司二级单位全称）</w:t>
      </w:r>
      <w:r>
        <w:rPr>
          <w:rFonts w:hint="eastAsia" w:asciiTheme="minorEastAsia" w:hAnsiTheme="minorEastAsia" w:eastAsiaTheme="minorEastAsia" w:cstheme="minorEastAsia"/>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单位分管领导</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审批</w:t>
      </w:r>
      <w:r>
        <w:rPr>
          <w:rFonts w:hint="eastAsia" w:asciiTheme="minorEastAsia" w:hAnsiTheme="minorEastAsia" w:eastAsiaTheme="minorEastAsia" w:cstheme="minorEastAsia"/>
          <w:bCs/>
          <w:sz w:val="32"/>
          <w:szCs w:val="32"/>
        </w:rPr>
        <w:t>日期：</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月</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审核方（章）：内蒙古神东天隆集团股份有限公司机电动力部</w:t>
      </w:r>
    </w:p>
    <w:p>
      <w:pPr>
        <w:pStyle w:val="2"/>
        <w:ind w:left="0" w:leftChars="0" w:firstLine="0" w:firstLineChars="0"/>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单位分管领导</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pStyle w:val="9"/>
        <w:numPr>
          <w:ilvl w:val="0"/>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Cs/>
          <w:sz w:val="32"/>
          <w:szCs w:val="32"/>
          <w:lang w:val="en-US" w:eastAsia="zh-CN"/>
        </w:rPr>
        <w:t>审批</w:t>
      </w:r>
      <w:r>
        <w:rPr>
          <w:rFonts w:hint="eastAsia" w:asciiTheme="minorEastAsia" w:hAnsiTheme="minorEastAsia" w:eastAsiaTheme="minorEastAsia" w:cstheme="minorEastAsia"/>
          <w:bCs/>
          <w:sz w:val="32"/>
          <w:szCs w:val="32"/>
        </w:rPr>
        <w:t>日期：</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月</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 xml:space="preserve">日 </w:t>
      </w:r>
    </w:p>
    <w:p/>
    <w:sectPr>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52EA"/>
    <w:multiLevelType w:val="singleLevel"/>
    <w:tmpl w:val="FF7F52EA"/>
    <w:lvl w:ilvl="0" w:tentative="0">
      <w:start w:val="1"/>
      <w:numFmt w:val="decimal"/>
      <w:suff w:val="nothing"/>
      <w:lvlText w:val="%1、"/>
      <w:lvlJc w:val="left"/>
    </w:lvl>
  </w:abstractNum>
  <w:abstractNum w:abstractNumId="1">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NDNmNGNiNWNhZjQyNWZlNzdkZTg0ZDMwNTYzZTgifQ=="/>
  </w:docVars>
  <w:rsids>
    <w:rsidRoot w:val="29FF6835"/>
    <w:rsid w:val="004325CA"/>
    <w:rsid w:val="02131202"/>
    <w:rsid w:val="0F442E10"/>
    <w:rsid w:val="12857891"/>
    <w:rsid w:val="1B915FA6"/>
    <w:rsid w:val="1BCE0AA4"/>
    <w:rsid w:val="1DF21795"/>
    <w:rsid w:val="23851FDE"/>
    <w:rsid w:val="25404A6D"/>
    <w:rsid w:val="29FF6835"/>
    <w:rsid w:val="31BB574F"/>
    <w:rsid w:val="365C2373"/>
    <w:rsid w:val="497C3089"/>
    <w:rsid w:val="51285735"/>
    <w:rsid w:val="514813E1"/>
    <w:rsid w:val="586D5EDA"/>
    <w:rsid w:val="62C5556D"/>
    <w:rsid w:val="6AB0660D"/>
    <w:rsid w:val="6F312BDD"/>
    <w:rsid w:val="79A85FF5"/>
    <w:rsid w:val="7A594050"/>
    <w:rsid w:val="7BE87029"/>
    <w:rsid w:val="7C00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2"/>
    <w:basedOn w:val="4"/>
    <w:qFormat/>
    <w:uiPriority w:val="0"/>
    <w:pPr>
      <w:ind w:firstLine="420" w:firstLineChars="200"/>
    </w:pPr>
  </w:style>
  <w:style w:type="paragraph" w:customStyle="1" w:styleId="12">
    <w:name w:val="No Spacing"/>
    <w:qFormat/>
    <w:uiPriority w:val="99"/>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正文"/>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1550</Words>
  <Characters>1869</Characters>
  <Lines>0</Lines>
  <Paragraphs>0</Paragraphs>
  <TotalTime>1478</TotalTime>
  <ScaleCrop>false</ScaleCrop>
  <LinksUpToDate>false</LinksUpToDate>
  <CharactersWithSpaces>2085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地瓜地瓜我是土豆</cp:lastModifiedBy>
  <cp:lastPrinted>2023-03-15T01:04:00Z</cp:lastPrinted>
  <dcterms:modified xsi:type="dcterms:W3CDTF">2023-03-17T00:17:13Z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EB825EF3C3E1487296D7A70D072E21F4</vt:lpwstr>
  </property>
</Properties>
</file>